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9F00F" w14:textId="10DC0497" w:rsidR="002F7A49" w:rsidRPr="00DA4D55" w:rsidRDefault="002F7A49" w:rsidP="002F7A4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DA4D55">
        <w:rPr>
          <w:rFonts w:ascii="Arial" w:eastAsia="SimSun" w:hAnsi="Arial" w:cs="Times New Roman"/>
          <w:b/>
          <w:bCs/>
          <w:sz w:val="24"/>
          <w:szCs w:val="24"/>
          <w:lang w:val="en-GB"/>
        </w:rPr>
        <w:t>3GPP TSG-RAN WG4 Meeting #</w:t>
      </w:r>
      <w:r w:rsidR="00106F99">
        <w:rPr>
          <w:rFonts w:ascii="Arial" w:eastAsia="SimSun" w:hAnsi="Arial" w:cs="Times New Roman"/>
          <w:b/>
          <w:bCs/>
          <w:sz w:val="24"/>
          <w:szCs w:val="24"/>
          <w:lang w:val="en-GB"/>
        </w:rPr>
        <w:t>10</w:t>
      </w:r>
      <w:r w:rsidR="0038262A">
        <w:rPr>
          <w:rFonts w:ascii="Arial" w:eastAsia="SimSun" w:hAnsi="Arial" w:cs="Times New Roman"/>
          <w:b/>
          <w:bCs/>
          <w:sz w:val="24"/>
          <w:szCs w:val="24"/>
          <w:lang w:val="en-GB"/>
        </w:rPr>
        <w:t>3</w:t>
      </w:r>
      <w:r w:rsidR="00106F99">
        <w:rPr>
          <w:rFonts w:ascii="Arial" w:eastAsia="SimSun" w:hAnsi="Arial" w:cs="Times New Roman"/>
          <w:b/>
          <w:bCs/>
          <w:sz w:val="24"/>
          <w:szCs w:val="24"/>
          <w:lang w:val="en-GB"/>
        </w:rPr>
        <w:t>-e</w:t>
      </w:r>
      <w:r w:rsidRPr="00DA4D55">
        <w:rPr>
          <w:rFonts w:ascii="Arial" w:eastAsia="SimSun" w:hAnsi="Arial" w:cs="Times New Roman"/>
          <w:b/>
          <w:bCs/>
          <w:sz w:val="24"/>
          <w:szCs w:val="24"/>
          <w:lang w:val="en-GB"/>
        </w:rPr>
        <w:t xml:space="preserve">     </w:t>
      </w:r>
      <w:r w:rsidR="00EA63D8" w:rsidRPr="00DA4D55">
        <w:rPr>
          <w:rFonts w:ascii="Arial" w:eastAsia="SimSun" w:hAnsi="Arial" w:cs="Times New Roman"/>
          <w:b/>
          <w:bCs/>
          <w:sz w:val="24"/>
          <w:szCs w:val="24"/>
          <w:lang w:val="en-GB" w:eastAsia="ja-JP"/>
        </w:rPr>
        <w:tab/>
      </w:r>
      <w:r w:rsidR="00357F35" w:rsidRPr="00357F35">
        <w:rPr>
          <w:rFonts w:ascii="Arial" w:eastAsia="SimSun" w:hAnsi="Arial" w:cs="Times New Roman"/>
          <w:b/>
          <w:bCs/>
          <w:sz w:val="24"/>
          <w:szCs w:val="24"/>
          <w:lang w:val="en-GB" w:eastAsia="ja-JP"/>
        </w:rPr>
        <w:t>R4-2209044</w:t>
      </w:r>
    </w:p>
    <w:bookmarkEnd w:id="0"/>
    <w:bookmarkEnd w:id="1"/>
    <w:p w14:paraId="28FE46D9" w14:textId="530ECA63" w:rsidR="004F72D7" w:rsidRPr="0038262A" w:rsidRDefault="004F72D7" w:rsidP="004F72D7">
      <w:pPr>
        <w:spacing w:after="0" w:line="240" w:lineRule="auto"/>
        <w:jc w:val="both"/>
        <w:textAlignment w:val="baseline"/>
        <w:rPr>
          <w:rFonts w:ascii="Arial" w:eastAsia="Times New Roman" w:hAnsi="Arial" w:cs="Arial"/>
          <w:b/>
          <w:bCs/>
          <w:sz w:val="24"/>
          <w:szCs w:val="24"/>
          <w:lang w:eastAsia="da-DK"/>
        </w:rPr>
      </w:pPr>
      <w:r w:rsidRPr="00DA4D55">
        <w:rPr>
          <w:rFonts w:ascii="Arial" w:eastAsia="Times New Roman" w:hAnsi="Arial" w:cs="Arial"/>
          <w:b/>
          <w:bCs/>
          <w:sz w:val="24"/>
          <w:szCs w:val="24"/>
          <w:lang w:eastAsia="da-DK"/>
        </w:rPr>
        <w:t xml:space="preserve">E-meeting, </w:t>
      </w:r>
      <w:r w:rsidR="0038262A">
        <w:rPr>
          <w:rFonts w:ascii="Arial" w:eastAsia="Times New Roman" w:hAnsi="Arial" w:cs="Arial"/>
          <w:b/>
          <w:bCs/>
          <w:sz w:val="24"/>
          <w:szCs w:val="24"/>
          <w:lang w:eastAsia="da-DK"/>
        </w:rPr>
        <w:t>May 9</w:t>
      </w:r>
      <w:r w:rsidR="0038262A" w:rsidRPr="0038262A">
        <w:rPr>
          <w:rFonts w:ascii="Arial" w:eastAsia="Times New Roman" w:hAnsi="Arial" w:cs="Arial"/>
          <w:b/>
          <w:bCs/>
          <w:sz w:val="24"/>
          <w:szCs w:val="24"/>
          <w:vertAlign w:val="superscript"/>
          <w:lang w:eastAsia="da-DK"/>
        </w:rPr>
        <w:t>th</w:t>
      </w:r>
      <w:r w:rsidR="0038262A">
        <w:rPr>
          <w:rFonts w:ascii="Arial" w:eastAsia="Times New Roman" w:hAnsi="Arial" w:cs="Arial"/>
          <w:b/>
          <w:bCs/>
          <w:sz w:val="24"/>
          <w:szCs w:val="24"/>
          <w:lang w:eastAsia="da-DK"/>
        </w:rPr>
        <w:t xml:space="preserve"> – May 20</w:t>
      </w:r>
      <w:r w:rsidR="0038262A" w:rsidRPr="0038262A">
        <w:rPr>
          <w:rFonts w:ascii="Arial" w:eastAsia="Times New Roman" w:hAnsi="Arial" w:cs="Arial"/>
          <w:b/>
          <w:bCs/>
          <w:sz w:val="24"/>
          <w:szCs w:val="24"/>
          <w:vertAlign w:val="superscript"/>
          <w:lang w:eastAsia="da-DK"/>
        </w:rPr>
        <w:t>th</w:t>
      </w:r>
      <w:r w:rsidRPr="00DA4D55">
        <w:rPr>
          <w:rFonts w:ascii="Arial" w:eastAsia="Times New Roman" w:hAnsi="Arial" w:cs="Arial"/>
          <w:b/>
          <w:bCs/>
          <w:sz w:val="24"/>
          <w:szCs w:val="24"/>
          <w:lang w:eastAsia="da-DK"/>
        </w:rPr>
        <w:t>, 202</w:t>
      </w:r>
      <w:r w:rsidR="00106F99">
        <w:rPr>
          <w:rFonts w:ascii="Arial" w:eastAsia="Times New Roman" w:hAnsi="Arial" w:cs="Arial"/>
          <w:b/>
          <w:bCs/>
          <w:sz w:val="24"/>
          <w:szCs w:val="24"/>
          <w:lang w:eastAsia="da-DK"/>
        </w:rPr>
        <w:t>2</w:t>
      </w:r>
      <w:r w:rsidRPr="00570645">
        <w:rPr>
          <w:rFonts w:ascii="Arial" w:eastAsia="Times New Roman" w:hAnsi="Arial" w:cs="Arial"/>
          <w:sz w:val="24"/>
          <w:szCs w:val="24"/>
          <w:lang w:eastAsia="da-DK"/>
        </w:rPr>
        <w:t> </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26A9C0F8" w:rsidR="000E23A6" w:rsidRPr="00134BF5" w:rsidRDefault="000E23A6" w:rsidP="000E23A6">
      <w:pPr>
        <w:ind w:left="1985" w:hanging="1985"/>
        <w:jc w:val="both"/>
        <w:rPr>
          <w:rFonts w:ascii="Arial" w:eastAsia="Calibri" w:hAnsi="Arial" w:cs="Arial"/>
          <w:b/>
          <w:bCs/>
          <w:sz w:val="24"/>
        </w:rPr>
      </w:pPr>
      <w:r w:rsidRPr="00134BF5">
        <w:rPr>
          <w:rFonts w:ascii="Arial" w:eastAsia="Calibri" w:hAnsi="Arial" w:cs="Arial"/>
          <w:b/>
          <w:bCs/>
          <w:sz w:val="24"/>
        </w:rPr>
        <w:t>Title:</w:t>
      </w:r>
      <w:r w:rsidRPr="00134BF5">
        <w:rPr>
          <w:rFonts w:ascii="Arial" w:eastAsia="Calibri" w:hAnsi="Arial" w:cs="Arial"/>
          <w:b/>
          <w:bCs/>
          <w:sz w:val="24"/>
        </w:rPr>
        <w:tab/>
      </w:r>
      <w:r w:rsidR="00106F99">
        <w:rPr>
          <w:rFonts w:ascii="Arial" w:eastAsia="Calibri" w:hAnsi="Arial" w:cs="Arial"/>
          <w:b/>
          <w:bCs/>
          <w:sz w:val="24"/>
        </w:rPr>
        <w:t xml:space="preserve">Discussion on </w:t>
      </w:r>
      <w:r w:rsidR="00081FDA">
        <w:rPr>
          <w:rFonts w:ascii="Arial" w:eastAsia="Calibri" w:hAnsi="Arial" w:cs="Arial"/>
          <w:b/>
          <w:bCs/>
          <w:sz w:val="24"/>
        </w:rPr>
        <w:t>e</w:t>
      </w:r>
      <w:r w:rsidR="00106F99">
        <w:rPr>
          <w:rFonts w:ascii="Arial" w:eastAsia="Calibri" w:hAnsi="Arial" w:cs="Arial"/>
          <w:b/>
          <w:bCs/>
          <w:sz w:val="24"/>
        </w:rPr>
        <w:t>DRX</w:t>
      </w:r>
      <w:r w:rsidR="00081FDA">
        <w:rPr>
          <w:rFonts w:ascii="Arial" w:eastAsia="Calibri" w:hAnsi="Arial" w:cs="Arial"/>
          <w:b/>
          <w:bCs/>
          <w:sz w:val="24"/>
        </w:rPr>
        <w:t xml:space="preserve"> enhancements</w:t>
      </w:r>
      <w:r w:rsidR="00106F99">
        <w:rPr>
          <w:rFonts w:ascii="Arial" w:eastAsia="Calibri" w:hAnsi="Arial" w:cs="Arial"/>
          <w:b/>
          <w:bCs/>
          <w:sz w:val="24"/>
        </w:rPr>
        <w:t xml:space="preserve"> for RedCap UEs</w:t>
      </w:r>
    </w:p>
    <w:p w14:paraId="3C35320A" w14:textId="1E492D0C" w:rsidR="000E23A6" w:rsidRPr="00BE5CC3" w:rsidRDefault="000E23A6" w:rsidP="036C8227">
      <w:pPr>
        <w:tabs>
          <w:tab w:val="left" w:pos="1985"/>
        </w:tabs>
        <w:spacing w:after="120" w:line="240" w:lineRule="auto"/>
        <w:jc w:val="both"/>
        <w:rPr>
          <w:rFonts w:ascii="Arial" w:eastAsia="MS Mincho" w:hAnsi="Arial" w:cs="Arial"/>
          <w:b/>
          <w:bCs/>
          <w:sz w:val="24"/>
          <w:szCs w:val="24"/>
        </w:rPr>
      </w:pPr>
      <w:r w:rsidRPr="00C36184">
        <w:rPr>
          <w:rFonts w:ascii="Arial" w:eastAsia="MS Mincho" w:hAnsi="Arial" w:cs="Arial"/>
          <w:b/>
          <w:bCs/>
          <w:sz w:val="24"/>
          <w:szCs w:val="24"/>
        </w:rPr>
        <w:t>Agenda item:</w:t>
      </w:r>
      <w:r w:rsidRPr="00C36184">
        <w:tab/>
      </w:r>
      <w:r w:rsidR="00C36184" w:rsidRPr="00C36184">
        <w:rPr>
          <w:rFonts w:ascii="Arial" w:eastAsia="MS Mincho" w:hAnsi="Arial" w:cs="Arial"/>
          <w:b/>
          <w:bCs/>
          <w:sz w:val="24"/>
          <w:szCs w:val="24"/>
        </w:rPr>
        <w:t>9</w:t>
      </w:r>
      <w:r w:rsidR="009679CC" w:rsidRPr="00C36184">
        <w:rPr>
          <w:rFonts w:ascii="Arial" w:eastAsia="MS Mincho" w:hAnsi="Arial" w:cs="Arial"/>
          <w:b/>
          <w:bCs/>
          <w:sz w:val="24"/>
          <w:szCs w:val="24"/>
        </w:rPr>
        <w:t>.</w:t>
      </w:r>
      <w:r w:rsidR="00C36184" w:rsidRPr="00C36184">
        <w:rPr>
          <w:rFonts w:ascii="Arial" w:eastAsia="MS Mincho" w:hAnsi="Arial" w:cs="Arial"/>
          <w:b/>
          <w:bCs/>
          <w:sz w:val="24"/>
          <w:szCs w:val="24"/>
        </w:rPr>
        <w:t>19</w:t>
      </w:r>
      <w:r w:rsidR="009679CC" w:rsidRPr="00C36184">
        <w:rPr>
          <w:rFonts w:ascii="Arial" w:eastAsia="MS Mincho" w:hAnsi="Arial" w:cs="Arial"/>
          <w:b/>
          <w:bCs/>
          <w:sz w:val="24"/>
          <w:szCs w:val="24"/>
        </w:rPr>
        <w:t>.3.2</w:t>
      </w:r>
    </w:p>
    <w:p w14:paraId="5FCD8CC3" w14:textId="02570F67" w:rsidR="000E23A6" w:rsidRPr="00BE5CC3" w:rsidRDefault="000E23A6" w:rsidP="000E23A6">
      <w:pPr>
        <w:tabs>
          <w:tab w:val="left" w:pos="1985"/>
        </w:tabs>
        <w:jc w:val="both"/>
        <w:rPr>
          <w:rFonts w:ascii="Arial" w:eastAsia="Calibri" w:hAnsi="Arial" w:cs="Arial"/>
          <w:b/>
          <w:bCs/>
          <w:sz w:val="24"/>
        </w:rPr>
      </w:pPr>
      <w:r w:rsidRPr="00BE5CC3">
        <w:rPr>
          <w:rFonts w:ascii="Arial" w:eastAsia="Calibri" w:hAnsi="Arial" w:cs="Arial"/>
          <w:b/>
          <w:bCs/>
          <w:sz w:val="24"/>
        </w:rPr>
        <w:t>Document for:</w:t>
      </w:r>
      <w:r w:rsidRPr="00BE5CC3">
        <w:rPr>
          <w:rFonts w:ascii="Arial" w:eastAsia="Calibri" w:hAnsi="Arial" w:cs="Arial"/>
          <w:b/>
          <w:bCs/>
          <w:sz w:val="24"/>
        </w:rPr>
        <w:tab/>
        <w:t>Discussion</w:t>
      </w:r>
    </w:p>
    <w:p w14:paraId="68905DAB" w14:textId="30440F62" w:rsidR="00841BCD" w:rsidRPr="00243066"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243066">
        <w:rPr>
          <w:rFonts w:ascii="Arial" w:eastAsia="SimSun" w:hAnsi="Arial" w:cs="Times New Roman"/>
          <w:sz w:val="36"/>
          <w:szCs w:val="20"/>
          <w:lang w:val="en-GB"/>
        </w:rPr>
        <w:t>1</w:t>
      </w:r>
      <w:r w:rsidRPr="00243066">
        <w:rPr>
          <w:rFonts w:ascii="Arial" w:eastAsia="SimSun" w:hAnsi="Arial" w:cs="Times New Roman"/>
          <w:sz w:val="36"/>
          <w:szCs w:val="20"/>
          <w:lang w:val="en-GB"/>
        </w:rPr>
        <w:tab/>
        <w:t>Intro</w:t>
      </w:r>
      <w:r w:rsidRPr="00243066">
        <w:rPr>
          <w:rStyle w:val="RAN4H1Char"/>
        </w:rPr>
        <w:t>ductio</w:t>
      </w:r>
      <w:r w:rsidRPr="00243066">
        <w:rPr>
          <w:rFonts w:ascii="Arial" w:eastAsia="SimSun" w:hAnsi="Arial" w:cs="Times New Roman"/>
          <w:sz w:val="36"/>
          <w:szCs w:val="20"/>
          <w:lang w:val="en-GB"/>
        </w:rPr>
        <w:t>n</w:t>
      </w:r>
    </w:p>
    <w:p w14:paraId="15DEA765" w14:textId="74E2AFAC" w:rsidR="006675BA" w:rsidRDefault="00D410E6" w:rsidP="009679CC">
      <w:pPr>
        <w:rPr>
          <w:rFonts w:cs="Times New Roman"/>
          <w:szCs w:val="20"/>
        </w:rPr>
      </w:pPr>
      <w:r w:rsidRPr="00040E38">
        <w:rPr>
          <w:rFonts w:cs="Times New Roman"/>
          <w:szCs w:val="20"/>
        </w:rPr>
        <w:t>In</w:t>
      </w:r>
      <w:r w:rsidR="00081FDA" w:rsidRPr="00040E38">
        <w:rPr>
          <w:rFonts w:cs="Times New Roman"/>
          <w:szCs w:val="20"/>
        </w:rPr>
        <w:t xml:space="preserve"> </w:t>
      </w:r>
      <w:r w:rsidR="000C44AF" w:rsidRPr="00040E38">
        <w:rPr>
          <w:rFonts w:cs="Times New Roman"/>
          <w:szCs w:val="20"/>
        </w:rPr>
        <w:t>this contribution,</w:t>
      </w:r>
      <w:r w:rsidR="000C44AF" w:rsidRPr="00243066">
        <w:rPr>
          <w:rFonts w:cs="Times New Roman"/>
          <w:szCs w:val="20"/>
        </w:rPr>
        <w:t xml:space="preserve"> </w:t>
      </w:r>
      <w:r w:rsidR="009679CC">
        <w:rPr>
          <w:rFonts w:cs="Times New Roman"/>
          <w:szCs w:val="20"/>
        </w:rPr>
        <w:t xml:space="preserve"> </w:t>
      </w:r>
      <w:r w:rsidR="00040E38">
        <w:rPr>
          <w:rFonts w:cs="Times New Roman"/>
          <w:szCs w:val="20"/>
        </w:rPr>
        <w:t>we present Nokia’s views on the eDRX enhancements for RedCap UEs. The following topics are discussed:</w:t>
      </w:r>
    </w:p>
    <w:p w14:paraId="377A5EB5" w14:textId="6A943179" w:rsidR="00040E38" w:rsidRDefault="00306502" w:rsidP="009679CC">
      <w:pPr>
        <w:rPr>
          <w:rFonts w:cs="Times New Roman"/>
          <w:szCs w:val="20"/>
        </w:rPr>
      </w:pPr>
      <w:r>
        <w:rPr>
          <w:rFonts w:cs="Times New Roman"/>
          <w:szCs w:val="20"/>
        </w:rPr>
        <w:t>IDLE</w:t>
      </w:r>
      <w:r w:rsidR="00040E38">
        <w:rPr>
          <w:rFonts w:cs="Times New Roman"/>
          <w:szCs w:val="20"/>
        </w:rPr>
        <w:t xml:space="preserve"> state serving cell eDRX requirements</w:t>
      </w:r>
    </w:p>
    <w:p w14:paraId="1E6C59E8" w14:textId="67EB7D41" w:rsidR="00040E38" w:rsidRDefault="00306502" w:rsidP="009679CC">
      <w:pPr>
        <w:rPr>
          <w:rFonts w:cs="Times New Roman"/>
          <w:szCs w:val="20"/>
        </w:rPr>
      </w:pPr>
      <w:r>
        <w:rPr>
          <w:rFonts w:cs="Times New Roman"/>
          <w:szCs w:val="20"/>
        </w:rPr>
        <w:t>IDLE</w:t>
      </w:r>
      <w:r w:rsidR="00040E38">
        <w:rPr>
          <w:rFonts w:cs="Times New Roman"/>
          <w:szCs w:val="20"/>
        </w:rPr>
        <w:t xml:space="preserve"> state cell reselection eDRX requirements </w:t>
      </w:r>
    </w:p>
    <w:p w14:paraId="0DCE3660" w14:textId="4483E8D7" w:rsidR="00306502" w:rsidRPr="00243066" w:rsidRDefault="00306502" w:rsidP="009679CC">
      <w:pPr>
        <w:rPr>
          <w:rFonts w:cs="Times New Roman"/>
          <w:szCs w:val="20"/>
        </w:rPr>
      </w:pPr>
      <w:r>
        <w:rPr>
          <w:rFonts w:cs="Times New Roman"/>
          <w:szCs w:val="20"/>
        </w:rPr>
        <w:t>INACTIVE state eDRX requirements</w:t>
      </w:r>
    </w:p>
    <w:p w14:paraId="2D032B8D" w14:textId="66E04E94" w:rsidR="00F70033" w:rsidRDefault="00F70033" w:rsidP="00F70033">
      <w:pPr>
        <w:pStyle w:val="RAN4H1"/>
      </w:pPr>
      <w:r>
        <w:t>2</w:t>
      </w:r>
      <w:r w:rsidRPr="00841BCD">
        <w:tab/>
      </w:r>
      <w:r w:rsidR="008729AE">
        <w:t>Discussion</w:t>
      </w:r>
    </w:p>
    <w:p w14:paraId="3CE2863D" w14:textId="77777777" w:rsidR="00306502" w:rsidRDefault="00306502" w:rsidP="00306502">
      <w:r>
        <w:t xml:space="preserve">In the last RAN4 meeting, there was a good progress in the definition of eDRX requirements. However, the following issues are still open for discussion: </w:t>
      </w:r>
    </w:p>
    <w:tbl>
      <w:tblPr>
        <w:tblStyle w:val="TableGrid"/>
        <w:tblW w:w="0" w:type="auto"/>
        <w:tblLook w:val="04A0" w:firstRow="1" w:lastRow="0" w:firstColumn="1" w:lastColumn="0" w:noHBand="0" w:noVBand="1"/>
      </w:tblPr>
      <w:tblGrid>
        <w:gridCol w:w="9617"/>
      </w:tblGrid>
      <w:tr w:rsidR="00306502" w14:paraId="2F8858C5" w14:textId="77777777" w:rsidTr="008A6F1A">
        <w:tc>
          <w:tcPr>
            <w:tcW w:w="9617" w:type="dxa"/>
          </w:tcPr>
          <w:p w14:paraId="5944A21C" w14:textId="77777777" w:rsidR="00306502" w:rsidRPr="00087BB7" w:rsidRDefault="00306502" w:rsidP="008A6F1A">
            <w:pPr>
              <w:spacing w:after="180"/>
              <w:rPr>
                <w:rFonts w:eastAsia="Times New Roman" w:cs="Times New Roman"/>
                <w:szCs w:val="20"/>
                <w:lang w:val="en-GB" w:eastAsia="da-DK"/>
              </w:rPr>
            </w:pPr>
            <w:r w:rsidRPr="00087BB7">
              <w:rPr>
                <w:rFonts w:eastAsia="Times New Roman" w:cs="Times New Roman"/>
                <w:b/>
                <w:bCs/>
                <w:szCs w:val="20"/>
                <w:u w:val="single"/>
                <w:lang w:val="en-GB" w:eastAsia="da-DK"/>
              </w:rPr>
              <w:t>FR2 serving cell requirements for RedCap UE with eDRX cycle when eDRX = 20.48s (and 40.96s)</w:t>
            </w:r>
          </w:p>
          <w:p w14:paraId="390BDEBE" w14:textId="77777777" w:rsidR="00306502" w:rsidRPr="00087BB7" w:rsidRDefault="00306502" w:rsidP="008A6F1A">
            <w:pPr>
              <w:numPr>
                <w:ilvl w:val="0"/>
                <w:numId w:val="30"/>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Option 1: The eDRX cycles with PTW (20.48s and 40.96s) are not feasible. Besdies, three more eDRX cycles with PTE are overlapped with eDRX without PTW. RAN4 shall keep eDRX for FR2 requirements as FFS and inform RAN2 with update on the issues related to eDRX with FR2 (MTK)</w:t>
            </w:r>
          </w:p>
          <w:p w14:paraId="176CFF4F" w14:textId="77777777" w:rsidR="00306502" w:rsidRPr="00087BB7" w:rsidRDefault="00306502" w:rsidP="008A6F1A">
            <w:pPr>
              <w:numPr>
                <w:ilvl w:val="0"/>
                <w:numId w:val="30"/>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 xml:space="preserve">Option 1a: Can we add Option 1a: add a note to exclude the case of eDRX 20.48s with DRX 0.32s in FR2? </w:t>
            </w:r>
            <w:r w:rsidRPr="00087BB7">
              <w:rPr>
                <w:rFonts w:eastAsia="Times New Roman" w:cs="Times New Roman"/>
                <w:szCs w:val="20"/>
                <w:lang w:val="en-GB" w:eastAsia="da-DK"/>
              </w:rPr>
              <w:br/>
              <w:t>To our understanding, the above option is not feasible and we can compromise to it. (MTK)</w:t>
            </w:r>
          </w:p>
          <w:p w14:paraId="4B8B3CD6" w14:textId="77777777" w:rsidR="00306502" w:rsidRPr="00087BB7" w:rsidRDefault="00306502" w:rsidP="008A6F1A">
            <w:pPr>
              <w:numPr>
                <w:ilvl w:val="0"/>
                <w:numId w:val="30"/>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Option 2: Not agree with option 1 (Ericsson, Huawei, xiaomi, vivo, Nokia)</w:t>
            </w:r>
          </w:p>
          <w:p w14:paraId="37A9ADFE" w14:textId="77777777" w:rsidR="00306502" w:rsidRPr="00087BB7" w:rsidRDefault="00306502" w:rsidP="008A6F1A">
            <w:pPr>
              <w:spacing w:after="180"/>
              <w:ind w:left="540"/>
              <w:rPr>
                <w:rFonts w:eastAsia="Times New Roman" w:cs="Times New Roman"/>
                <w:szCs w:val="20"/>
                <w:lang w:val="en-GB" w:eastAsia="da-DK"/>
              </w:rPr>
            </w:pPr>
            <w:r w:rsidRPr="00087BB7">
              <w:rPr>
                <w:rFonts w:eastAsia="Times New Roman" w:cs="Times New Roman"/>
                <w:szCs w:val="20"/>
                <w:lang w:val="en-GB" w:eastAsia="da-DK"/>
              </w:rPr>
              <w:t> </w:t>
            </w:r>
          </w:p>
          <w:p w14:paraId="0384B15C" w14:textId="77777777" w:rsidR="00306502" w:rsidRPr="00087BB7" w:rsidRDefault="00306502" w:rsidP="008A6F1A">
            <w:pPr>
              <w:spacing w:after="180"/>
              <w:ind w:left="540"/>
              <w:rPr>
                <w:rFonts w:eastAsia="Times New Roman" w:cs="Times New Roman"/>
                <w:szCs w:val="20"/>
                <w:lang w:val="en-GB" w:eastAsia="da-DK"/>
              </w:rPr>
            </w:pPr>
            <w:r w:rsidRPr="00087BB7">
              <w:rPr>
                <w:rFonts w:eastAsia="Times New Roman" w:cs="Times New Roman"/>
                <w:szCs w:val="20"/>
                <w:lang w:val="en-GB" w:eastAsia="da-DK"/>
              </w:rPr>
              <w:t>Agreement: agree option 2 with the case (eDRX cycle = 20.48s and DRX cycle = 0.32s) for FFS</w:t>
            </w:r>
          </w:p>
          <w:p w14:paraId="1494BFDC" w14:textId="77777777" w:rsidR="00306502" w:rsidRPr="00087BB7" w:rsidRDefault="00306502" w:rsidP="008A6F1A">
            <w:pPr>
              <w:spacing w:after="180"/>
              <w:rPr>
                <w:rFonts w:eastAsia="Times New Roman" w:cs="Times New Roman"/>
                <w:szCs w:val="20"/>
                <w:lang w:val="en-GB" w:eastAsia="da-DK"/>
              </w:rPr>
            </w:pPr>
            <w:r w:rsidRPr="00087BB7">
              <w:rPr>
                <w:rFonts w:eastAsia="Times New Roman" w:cs="Times New Roman"/>
                <w:b/>
                <w:bCs/>
                <w:szCs w:val="20"/>
                <w:u w:val="single"/>
                <w:lang w:val="en-GB" w:eastAsia="da-DK"/>
              </w:rPr>
              <w:t>FR2 Cell reselection requirements for RedCap UE with eDRX cycle (intra frequency) when eDRX = 20.48s (and 40.96s)</w:t>
            </w:r>
          </w:p>
          <w:p w14:paraId="29911F8F" w14:textId="77777777" w:rsidR="00306502" w:rsidRPr="00087BB7" w:rsidRDefault="00306502" w:rsidP="008A6F1A">
            <w:pPr>
              <w:numPr>
                <w:ilvl w:val="0"/>
                <w:numId w:val="31"/>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Option 1: The eDRX cycles with PTW (20.48s and 40.96s) are not feasible. RAN4 shall keep eDRX for FR2 requirements as FFS and inform RAN2 with update on the issues related to eDRX with FR2 (MTK)</w:t>
            </w:r>
          </w:p>
          <w:p w14:paraId="3F74731C" w14:textId="77777777" w:rsidR="00306502" w:rsidRPr="00087BB7" w:rsidRDefault="00306502" w:rsidP="008A6F1A">
            <w:pPr>
              <w:numPr>
                <w:ilvl w:val="0"/>
                <w:numId w:val="31"/>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Option 2: No issue (Apple CMCC Nokia Ericsson Huawei vivo xiaomi oppo)</w:t>
            </w:r>
          </w:p>
          <w:p w14:paraId="7170E1EB" w14:textId="77777777" w:rsidR="00306502" w:rsidRPr="00087BB7" w:rsidRDefault="00306502" w:rsidP="008A6F1A">
            <w:pPr>
              <w:ind w:left="540"/>
              <w:rPr>
                <w:rFonts w:eastAsia="Times New Roman" w:cs="Times New Roman"/>
                <w:szCs w:val="20"/>
                <w:lang w:val="en-GB" w:eastAsia="da-DK"/>
              </w:rPr>
            </w:pPr>
            <w:r w:rsidRPr="00087BB7">
              <w:rPr>
                <w:rFonts w:eastAsia="Times New Roman" w:cs="Times New Roman"/>
                <w:szCs w:val="20"/>
                <w:lang w:val="en-GB" w:eastAsia="da-DK"/>
              </w:rPr>
              <w:t>Agreement: Agree option 2 with the case (eDRX cycle = 20.48s and DRX cycle = 0.32s) for FFS</w:t>
            </w:r>
          </w:p>
          <w:p w14:paraId="1297F207" w14:textId="77777777" w:rsidR="00306502" w:rsidRPr="00087BB7" w:rsidRDefault="00306502" w:rsidP="008A6F1A">
            <w:pPr>
              <w:spacing w:after="180"/>
              <w:rPr>
                <w:rFonts w:eastAsia="Times New Roman" w:cs="Times New Roman"/>
                <w:szCs w:val="20"/>
                <w:lang w:val="en-GB" w:eastAsia="da-DK"/>
              </w:rPr>
            </w:pPr>
            <w:r w:rsidRPr="00087BB7">
              <w:rPr>
                <w:rFonts w:eastAsia="Times New Roman" w:cs="Times New Roman"/>
                <w:b/>
                <w:bCs/>
                <w:szCs w:val="20"/>
                <w:u w:val="single"/>
                <w:lang w:val="en-GB" w:eastAsia="da-DK"/>
              </w:rPr>
              <w:t>Inactive state requirements when idle eDRX is longer than 10.24s</w:t>
            </w:r>
          </w:p>
          <w:p w14:paraId="6A2CC18B" w14:textId="77777777" w:rsidR="00306502" w:rsidRPr="00087BB7" w:rsidRDefault="00306502" w:rsidP="008A6F1A">
            <w:pPr>
              <w:numPr>
                <w:ilvl w:val="0"/>
                <w:numId w:val="32"/>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 xml:space="preserve">Option 1: The inactive UE requirements are based on inactive DRX or inactive eDRX when inactive eDRX is configured (Huawei vivo MTK) </w:t>
            </w:r>
          </w:p>
          <w:p w14:paraId="5209EAE1" w14:textId="77777777" w:rsidR="00306502" w:rsidRPr="00087BB7" w:rsidRDefault="00306502" w:rsidP="008A6F1A">
            <w:pPr>
              <w:numPr>
                <w:ilvl w:val="0"/>
                <w:numId w:val="32"/>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Option 2: Based on the paging monitoring cycle of T agreed in RAN2 (Apple Ericsson xiaomi Nokia)</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02"/>
              <w:gridCol w:w="1356"/>
              <w:gridCol w:w="2039"/>
              <w:gridCol w:w="4304"/>
            </w:tblGrid>
            <w:tr w:rsidR="00306502" w:rsidRPr="00087BB7" w14:paraId="1C60633C"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49D77"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IDLE eDRX[s]</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9D55E"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eDRX[s]</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9B49A6"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 or during CN PTW</w:t>
                  </w:r>
                </w:p>
              </w:tc>
              <w:tc>
                <w:tcPr>
                  <w:tcW w:w="6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51842"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w:t>
                  </w:r>
                </w:p>
              </w:tc>
            </w:tr>
            <w:tr w:rsidR="00306502" w:rsidRPr="00087BB7" w14:paraId="7B2BB2C4"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BC4AC"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lastRenderedPageBreak/>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4C615"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Not configured</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01E65"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During CN PTW</w:t>
                  </w:r>
                </w:p>
              </w:tc>
              <w:tc>
                <w:tcPr>
                  <w:tcW w:w="6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AF1D0"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Shortest value of default paging cycle and UE specific DRX cycle if configured by upper layer</w:t>
                  </w:r>
                </w:p>
              </w:tc>
            </w:tr>
            <w:tr w:rsidR="00306502" w:rsidRPr="00087BB7" w14:paraId="4061AA59"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61338"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C3BAA"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Not configured</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9A6F2"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w:t>
                  </w:r>
                </w:p>
              </w:tc>
              <w:tc>
                <w:tcPr>
                  <w:tcW w:w="6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2688F9"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RAN paging cycle.</w:t>
                  </w:r>
                </w:p>
              </w:tc>
            </w:tr>
            <w:tr w:rsidR="00306502" w:rsidRPr="00087BB7" w14:paraId="7F8EEE1C"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D0F5C4"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714D73"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≤10.24</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B50853"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During CN PTW</w:t>
                  </w:r>
                </w:p>
              </w:tc>
              <w:tc>
                <w:tcPr>
                  <w:tcW w:w="6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D1FEF"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Shortest value of default paging cycle and UE specific DRX cycle if configured by upper layer</w:t>
                  </w:r>
                </w:p>
              </w:tc>
            </w:tr>
            <w:tr w:rsidR="00306502" w:rsidRPr="00087BB7" w14:paraId="512864E6"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1A3A8"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0024B2"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≤10.24</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8C9122"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w:t>
                  </w:r>
                </w:p>
              </w:tc>
              <w:tc>
                <w:tcPr>
                  <w:tcW w:w="6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8C8B3"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 cycle</w:t>
                  </w:r>
                </w:p>
              </w:tc>
            </w:tr>
          </w:tbl>
          <w:p w14:paraId="15B3BEA6" w14:textId="77777777" w:rsidR="00306502" w:rsidRPr="00087BB7" w:rsidRDefault="00306502" w:rsidP="008A6F1A">
            <w:pPr>
              <w:spacing w:after="120"/>
              <w:rPr>
                <w:rFonts w:eastAsia="Times New Roman" w:cs="Times New Roman"/>
                <w:szCs w:val="20"/>
                <w:lang w:eastAsia="da-DK"/>
              </w:rPr>
            </w:pPr>
            <w:r w:rsidRPr="00087BB7">
              <w:rPr>
                <w:rFonts w:eastAsia="Times New Roman" w:cs="Times New Roman"/>
                <w:szCs w:val="20"/>
                <w:lang w:eastAsia="da-DK"/>
              </w:rPr>
              <w:t> </w:t>
            </w:r>
          </w:p>
          <w:p w14:paraId="2BA599C8" w14:textId="77777777" w:rsidR="00306502" w:rsidRPr="00087BB7" w:rsidRDefault="00306502" w:rsidP="008A6F1A">
            <w:pPr>
              <w:spacing w:after="120"/>
              <w:rPr>
                <w:rFonts w:eastAsia="Times New Roman" w:cs="Times New Roman"/>
                <w:szCs w:val="20"/>
                <w:lang w:eastAsia="da-DK"/>
              </w:rPr>
            </w:pPr>
            <w:r w:rsidRPr="00087BB7">
              <w:rPr>
                <w:rFonts w:eastAsia="Times New Roman" w:cs="Times New Roman"/>
                <w:szCs w:val="20"/>
                <w:lang w:eastAsia="da-DK"/>
              </w:rPr>
              <w:t xml:space="preserve">Agreement: no consensus </w:t>
            </w:r>
          </w:p>
          <w:p w14:paraId="0B095F55" w14:textId="77777777" w:rsidR="00306502" w:rsidRPr="00087BB7" w:rsidRDefault="00306502" w:rsidP="008A6F1A">
            <w:pPr>
              <w:spacing w:after="180"/>
              <w:rPr>
                <w:rFonts w:eastAsia="Times New Roman" w:cs="Times New Roman"/>
                <w:szCs w:val="20"/>
                <w:lang w:val="en-GB" w:eastAsia="da-DK"/>
              </w:rPr>
            </w:pPr>
            <w:r w:rsidRPr="00087BB7">
              <w:rPr>
                <w:rFonts w:eastAsia="Times New Roman" w:cs="Times New Roman"/>
                <w:b/>
                <w:bCs/>
                <w:szCs w:val="20"/>
                <w:u w:val="single"/>
                <w:lang w:val="en-GB" w:eastAsia="da-DK"/>
              </w:rPr>
              <w:t>Inactive state requirements when idle eDRX is no longer than 10.24s</w:t>
            </w:r>
          </w:p>
          <w:p w14:paraId="019AF2E9" w14:textId="77777777" w:rsidR="00306502" w:rsidRPr="00087BB7" w:rsidRDefault="00306502" w:rsidP="008A6F1A">
            <w:pPr>
              <w:numPr>
                <w:ilvl w:val="0"/>
                <w:numId w:val="33"/>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 xml:space="preserve">Option 1: The inactive UE requirements are based on inactive eDRX or inactive DRX when inactive eDRX is not configured (Huawei vivo MTK)   </w:t>
            </w:r>
          </w:p>
          <w:p w14:paraId="30657C82" w14:textId="77777777" w:rsidR="00306502" w:rsidRPr="00087BB7" w:rsidRDefault="00306502" w:rsidP="008A6F1A">
            <w:pPr>
              <w:numPr>
                <w:ilvl w:val="0"/>
                <w:numId w:val="33"/>
              </w:numPr>
              <w:spacing w:after="120"/>
              <w:textAlignment w:val="center"/>
              <w:rPr>
                <w:rFonts w:ascii="Calibri" w:eastAsia="Times New Roman" w:hAnsi="Calibri" w:cs="Calibri"/>
                <w:sz w:val="22"/>
                <w:lang w:val="en-GB" w:eastAsia="da-DK"/>
              </w:rPr>
            </w:pPr>
            <w:r w:rsidRPr="00087BB7">
              <w:rPr>
                <w:rFonts w:eastAsia="Times New Roman" w:cs="Times New Roman"/>
                <w:szCs w:val="20"/>
                <w:lang w:val="en-GB" w:eastAsia="da-DK"/>
              </w:rPr>
              <w:t>Option 2: Based on the paging monitoring cycle of T agreed in RAN2 (Apple Ericsson xiaomi vivo Nokia)</w:t>
            </w:r>
          </w:p>
          <w:p w14:paraId="406652FB" w14:textId="77777777" w:rsidR="00306502" w:rsidRPr="00087BB7" w:rsidRDefault="00306502" w:rsidP="008A6F1A">
            <w:pPr>
              <w:spacing w:after="120"/>
              <w:ind w:left="1080"/>
              <w:rPr>
                <w:rFonts w:eastAsia="Times New Roman" w:cs="Times New Roman"/>
                <w:szCs w:val="20"/>
                <w:lang w:val="en-GB" w:eastAsia="da-DK"/>
              </w:rPr>
            </w:pPr>
            <w:r w:rsidRPr="00087BB7">
              <w:rPr>
                <w:rFonts w:eastAsia="Times New Roman" w:cs="Times New Roman"/>
                <w:szCs w:val="20"/>
                <w:lang w:val="en-GB" w:eastAsia="da-DK"/>
              </w:rPr>
              <w:t>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54"/>
              <w:gridCol w:w="1422"/>
              <w:gridCol w:w="2206"/>
              <w:gridCol w:w="3479"/>
            </w:tblGrid>
            <w:tr w:rsidR="00306502" w:rsidRPr="00087BB7" w14:paraId="02AC2660" w14:textId="77777777" w:rsidTr="008A6F1A">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8A3EAA"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IDLE eDRX[s]</w:t>
                  </w:r>
                </w:p>
              </w:tc>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2C8E3"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eDRX[s]</w:t>
                  </w:r>
                </w:p>
              </w:tc>
              <w:tc>
                <w:tcPr>
                  <w:tcW w:w="3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19119"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 or during CN PTW</w:t>
                  </w:r>
                </w:p>
              </w:tc>
              <w:tc>
                <w:tcPr>
                  <w:tcW w:w="49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81D62"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w:t>
                  </w:r>
                </w:p>
              </w:tc>
            </w:tr>
            <w:tr w:rsidR="00306502" w:rsidRPr="00087BB7" w14:paraId="66B4852A" w14:textId="77777777" w:rsidTr="008A6F1A">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8E853"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≤10.24</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057B85"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Not configured</w:t>
                  </w:r>
                </w:p>
              </w:tc>
              <w:tc>
                <w:tcPr>
                  <w:tcW w:w="3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604CBF"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NA</w:t>
                  </w:r>
                </w:p>
              </w:tc>
              <w:tc>
                <w:tcPr>
                  <w:tcW w:w="50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D1468"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Shortest of RAN paging cycle and IDLE eDRX cycle</w:t>
                  </w:r>
                </w:p>
              </w:tc>
            </w:tr>
            <w:tr w:rsidR="00306502" w:rsidRPr="00087BB7" w14:paraId="43F6F936" w14:textId="77777777" w:rsidTr="008A6F1A">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57C9E"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≤10.24</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A8380"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≤10.24</w:t>
                  </w:r>
                </w:p>
              </w:tc>
              <w:tc>
                <w:tcPr>
                  <w:tcW w:w="3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3B7FF"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NA</w:t>
                  </w:r>
                </w:p>
              </w:tc>
              <w:tc>
                <w:tcPr>
                  <w:tcW w:w="53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F653BB" w14:textId="77777777" w:rsidR="00306502" w:rsidRPr="00087BB7" w:rsidRDefault="00306502"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The shortest of IDLE eDRX cycle and INACTIVE eDRX cycle.</w:t>
                  </w:r>
                </w:p>
              </w:tc>
            </w:tr>
          </w:tbl>
          <w:p w14:paraId="74C36302" w14:textId="77777777" w:rsidR="00306502" w:rsidRPr="00087BB7" w:rsidRDefault="00306502" w:rsidP="008A6F1A">
            <w:pPr>
              <w:spacing w:after="120"/>
              <w:ind w:left="1080"/>
              <w:rPr>
                <w:rFonts w:eastAsia="Times New Roman" w:cs="Times New Roman"/>
                <w:szCs w:val="20"/>
                <w:lang w:val="en-GB" w:eastAsia="da-DK"/>
              </w:rPr>
            </w:pPr>
            <w:r w:rsidRPr="00087BB7">
              <w:rPr>
                <w:rFonts w:eastAsia="Times New Roman" w:cs="Times New Roman"/>
                <w:szCs w:val="20"/>
                <w:lang w:val="en-GB" w:eastAsia="da-DK"/>
              </w:rPr>
              <w:t> </w:t>
            </w:r>
          </w:p>
          <w:p w14:paraId="06BA2E21" w14:textId="77777777" w:rsidR="00306502" w:rsidRPr="00087BB7" w:rsidRDefault="00306502" w:rsidP="008A6F1A">
            <w:pPr>
              <w:spacing w:after="120"/>
              <w:rPr>
                <w:lang w:val="en-GB"/>
              </w:rPr>
            </w:pPr>
            <w:r w:rsidRPr="00087BB7">
              <w:rPr>
                <w:rFonts w:eastAsia="Times New Roman" w:cs="Times New Roman"/>
                <w:szCs w:val="20"/>
                <w:lang w:eastAsia="da-DK"/>
              </w:rPr>
              <w:t xml:space="preserve">Agreement: No consensus, </w:t>
            </w:r>
            <w:r w:rsidRPr="00087BB7">
              <w:rPr>
                <w:rFonts w:eastAsia="Times New Roman" w:cs="Times New Roman"/>
                <w:szCs w:val="20"/>
                <w:lang w:val="en-GB" w:eastAsia="da-DK"/>
              </w:rPr>
              <w:t xml:space="preserve">FFS at maintenance stage </w:t>
            </w:r>
          </w:p>
        </w:tc>
      </w:tr>
    </w:tbl>
    <w:p w14:paraId="46336625" w14:textId="335242DD" w:rsidR="00306502" w:rsidRPr="00306502" w:rsidRDefault="00306502" w:rsidP="00306502">
      <w:r>
        <w:lastRenderedPageBreak/>
        <w:t xml:space="preserve"> </w:t>
      </w:r>
    </w:p>
    <w:p w14:paraId="6035377A" w14:textId="299F68D9" w:rsidR="00F95135" w:rsidRDefault="00F95135" w:rsidP="00F95135">
      <w:pPr>
        <w:pStyle w:val="RAN4H2"/>
      </w:pPr>
      <w:bookmarkStart w:id="2" w:name="_Hlk89691254"/>
      <w:r>
        <w:t>2.1</w:t>
      </w:r>
      <w:r w:rsidRPr="00841BCD">
        <w:tab/>
      </w:r>
      <w:r w:rsidR="00306502">
        <w:t>IDLE</w:t>
      </w:r>
      <w:r w:rsidR="00082E63">
        <w:t xml:space="preserve"> state serving cell eDRX requirements</w:t>
      </w:r>
    </w:p>
    <w:bookmarkEnd w:id="2"/>
    <w:p w14:paraId="4520B77A" w14:textId="39E2120B" w:rsidR="00AC46F3" w:rsidRDefault="00AC46F3" w:rsidP="00020FCB"/>
    <w:p w14:paraId="098CD4C1" w14:textId="4D024E2E" w:rsidR="00001A57" w:rsidRDefault="00001A57" w:rsidP="00001A57">
      <w:pPr>
        <w:pStyle w:val="RAN4proposal"/>
        <w:numPr>
          <w:ilvl w:val="0"/>
          <w:numId w:val="0"/>
        </w:numPr>
        <w:rPr>
          <w:u w:val="single"/>
          <w:lang w:eastAsia="zh-CN"/>
        </w:rPr>
      </w:pPr>
      <w:r w:rsidRPr="00001A57">
        <w:rPr>
          <w:u w:val="single"/>
          <w:lang w:eastAsia="zh-CN"/>
        </w:rPr>
        <w:t xml:space="preserve">Serving cell </w:t>
      </w:r>
      <w:r w:rsidR="00C81BC8">
        <w:rPr>
          <w:u w:val="single"/>
          <w:lang w:eastAsia="zh-CN"/>
        </w:rPr>
        <w:t xml:space="preserve">and cell reselection </w:t>
      </w:r>
      <w:r w:rsidRPr="00001A57">
        <w:rPr>
          <w:u w:val="single"/>
          <w:lang w:eastAsia="zh-CN"/>
        </w:rPr>
        <w:t>requirements for eDRX length</w:t>
      </w:r>
      <w:r w:rsidR="00E5736D">
        <w:rPr>
          <w:u w:val="single"/>
          <w:lang w:eastAsia="zh-CN"/>
        </w:rPr>
        <w:t xml:space="preserve"> = 20.48s</w:t>
      </w:r>
    </w:p>
    <w:p w14:paraId="5ACE9124" w14:textId="7AE5C8A1" w:rsidR="00E5736D" w:rsidRDefault="0064111A" w:rsidP="00020FCB">
      <w:pPr>
        <w:rPr>
          <w:lang w:eastAsia="zh-CN"/>
        </w:rPr>
      </w:pPr>
      <w:r>
        <w:rPr>
          <w:lang w:eastAsia="zh-CN"/>
        </w:rPr>
        <w:t>In the last meeting,</w:t>
      </w:r>
      <w:r w:rsidR="00E5736D">
        <w:rPr>
          <w:lang w:eastAsia="zh-CN"/>
        </w:rPr>
        <w:t xml:space="preserve"> the serving cell measurement requirements in IDLE state with eDRX were agreed, except for the combination of eDRX cycle = 20.48s and DRX cycle = 320 ms.  The reason why this scenario was marked as FFS is that it might not lead to </w:t>
      </w:r>
      <w:r w:rsidR="002857B2">
        <w:rPr>
          <w:lang w:eastAsia="zh-CN"/>
        </w:rPr>
        <w:t>more</w:t>
      </w:r>
      <w:r w:rsidR="00E5736D">
        <w:rPr>
          <w:lang w:eastAsia="zh-CN"/>
        </w:rPr>
        <w:t xml:space="preserve"> power saving at the UE when compared to other DRX cycle / eDRX cycle configurations, since it leads to a high number of “on occasions” </w:t>
      </w:r>
      <w:r w:rsidR="002857B2">
        <w:rPr>
          <w:lang w:eastAsia="zh-CN"/>
        </w:rPr>
        <w:t>within</w:t>
      </w:r>
      <w:r w:rsidR="00E5736D">
        <w:rPr>
          <w:lang w:eastAsia="zh-CN"/>
        </w:rPr>
        <w:t xml:space="preserve"> a given period.</w:t>
      </w:r>
      <w:r w:rsidR="00BF15B1">
        <w:rPr>
          <w:lang w:eastAsia="zh-CN"/>
        </w:rPr>
        <w:t xml:space="preserve"> Table 1 shows the number of wake-ups during a 20.48s period for different DRX and eDRX configurations. The number of wake ups is calculated with the agreements captured in the Big CR endorsed in RAN4 #102 </w:t>
      </w:r>
      <w:r w:rsidR="00BF15B1">
        <w:rPr>
          <w:lang w:eastAsia="zh-CN"/>
        </w:rPr>
        <w:fldChar w:fldCharType="begin"/>
      </w:r>
      <w:r w:rsidR="00BF15B1">
        <w:rPr>
          <w:lang w:eastAsia="zh-CN"/>
        </w:rPr>
        <w:instrText xml:space="preserve"> REF _Ref99539269 \r \h </w:instrText>
      </w:r>
      <w:r w:rsidR="00BF15B1">
        <w:rPr>
          <w:lang w:eastAsia="zh-CN"/>
        </w:rPr>
      </w:r>
      <w:r w:rsidR="00BF15B1">
        <w:rPr>
          <w:lang w:eastAsia="zh-CN"/>
        </w:rPr>
        <w:fldChar w:fldCharType="separate"/>
      </w:r>
      <w:r w:rsidR="00BF15B1">
        <w:rPr>
          <w:lang w:eastAsia="zh-CN"/>
        </w:rPr>
        <w:t>[1]</w:t>
      </w:r>
      <w:r w:rsidR="00BF15B1">
        <w:rPr>
          <w:lang w:eastAsia="zh-CN"/>
        </w:rPr>
        <w:fldChar w:fldCharType="end"/>
      </w:r>
      <w:r w:rsidR="00BF15B1">
        <w:rPr>
          <w:lang w:eastAsia="zh-CN"/>
        </w:rPr>
        <w:t>.</w:t>
      </w:r>
    </w:p>
    <w:p w14:paraId="4BE10654" w14:textId="5F5F1C61" w:rsidR="00BF15B1" w:rsidRDefault="00BF15B1" w:rsidP="00BF15B1">
      <w:pPr>
        <w:pStyle w:val="Caption"/>
        <w:keepNext/>
      </w:pPr>
      <w:r>
        <w:t xml:space="preserve">Table </w:t>
      </w:r>
      <w:fldSimple w:instr=" SEQ Table \* ARABIC ">
        <w:r>
          <w:rPr>
            <w:noProof/>
          </w:rPr>
          <w:t>1</w:t>
        </w:r>
      </w:fldSimple>
      <w:r>
        <w:t xml:space="preserve"> - Number of wake ups in 20.48s with different DRX/eDRX configurations</w:t>
      </w:r>
      <w:r w:rsidR="00C81BC8">
        <w:t xml:space="preserve"> during serving cell measurements in IDLE mode</w:t>
      </w:r>
    </w:p>
    <w:tbl>
      <w:tblPr>
        <w:tblStyle w:val="TableGrid"/>
        <w:tblW w:w="0" w:type="auto"/>
        <w:jc w:val="center"/>
        <w:tblLook w:val="04A0" w:firstRow="1" w:lastRow="0" w:firstColumn="1" w:lastColumn="0" w:noHBand="0" w:noVBand="1"/>
      </w:tblPr>
      <w:tblGrid>
        <w:gridCol w:w="1602"/>
        <w:gridCol w:w="1603"/>
        <w:gridCol w:w="1603"/>
        <w:gridCol w:w="1603"/>
      </w:tblGrid>
      <w:tr w:rsidR="002857B2" w14:paraId="3C6D2938" w14:textId="77777777" w:rsidTr="002857B2">
        <w:trPr>
          <w:jc w:val="center"/>
        </w:trPr>
        <w:tc>
          <w:tcPr>
            <w:tcW w:w="1602" w:type="dxa"/>
          </w:tcPr>
          <w:p w14:paraId="36024A0C" w14:textId="6BC33E6C" w:rsidR="002857B2" w:rsidRDefault="002857B2" w:rsidP="00020FCB">
            <w:pPr>
              <w:rPr>
                <w:lang w:eastAsia="zh-CN"/>
              </w:rPr>
            </w:pPr>
            <w:r>
              <w:rPr>
                <w:lang w:eastAsia="zh-CN"/>
              </w:rPr>
              <w:t>DRX configuration</w:t>
            </w:r>
          </w:p>
        </w:tc>
        <w:tc>
          <w:tcPr>
            <w:tcW w:w="1603" w:type="dxa"/>
          </w:tcPr>
          <w:p w14:paraId="10DF82A8" w14:textId="78AFEBBD" w:rsidR="002857B2" w:rsidRDefault="002857B2" w:rsidP="00020FCB">
            <w:pPr>
              <w:rPr>
                <w:lang w:eastAsia="zh-CN"/>
              </w:rPr>
            </w:pPr>
            <w:r>
              <w:rPr>
                <w:lang w:eastAsia="zh-CN"/>
              </w:rPr>
              <w:t>eDRX configuration</w:t>
            </w:r>
          </w:p>
        </w:tc>
        <w:tc>
          <w:tcPr>
            <w:tcW w:w="1603" w:type="dxa"/>
          </w:tcPr>
          <w:p w14:paraId="69A427C4" w14:textId="488302A2" w:rsidR="002857B2" w:rsidRDefault="002857B2" w:rsidP="00020FCB">
            <w:pPr>
              <w:rPr>
                <w:lang w:eastAsia="zh-CN"/>
              </w:rPr>
            </w:pPr>
            <w:r>
              <w:rPr>
                <w:lang w:eastAsia="zh-CN"/>
              </w:rPr>
              <w:t># wake ups in 20.48 s (DRX only)</w:t>
            </w:r>
          </w:p>
        </w:tc>
        <w:tc>
          <w:tcPr>
            <w:tcW w:w="1603" w:type="dxa"/>
          </w:tcPr>
          <w:p w14:paraId="59968802" w14:textId="55EE5BF9" w:rsidR="002857B2" w:rsidRDefault="002857B2" w:rsidP="00020FCB">
            <w:pPr>
              <w:rPr>
                <w:lang w:eastAsia="zh-CN"/>
              </w:rPr>
            </w:pPr>
            <w:r>
              <w:rPr>
                <w:lang w:eastAsia="zh-CN"/>
              </w:rPr>
              <w:t># wake ups in 20.48s (eDRX)</w:t>
            </w:r>
          </w:p>
        </w:tc>
      </w:tr>
      <w:tr w:rsidR="002857B2" w14:paraId="0BB5FDCB" w14:textId="77777777" w:rsidTr="002857B2">
        <w:trPr>
          <w:jc w:val="center"/>
        </w:trPr>
        <w:tc>
          <w:tcPr>
            <w:tcW w:w="1602" w:type="dxa"/>
          </w:tcPr>
          <w:p w14:paraId="5ED6C807" w14:textId="5B032DB1" w:rsidR="002857B2" w:rsidRPr="00BE5CC3" w:rsidRDefault="002857B2" w:rsidP="002857B2">
            <w:pPr>
              <w:rPr>
                <w:lang w:eastAsia="zh-CN"/>
              </w:rPr>
            </w:pPr>
            <w:r w:rsidRPr="00BE5CC3">
              <w:rPr>
                <w:lang w:eastAsia="zh-CN"/>
              </w:rPr>
              <w:t>0.32</w:t>
            </w:r>
          </w:p>
        </w:tc>
        <w:tc>
          <w:tcPr>
            <w:tcW w:w="1603" w:type="dxa"/>
          </w:tcPr>
          <w:p w14:paraId="70C48CBB" w14:textId="23FCB5B2" w:rsidR="002857B2" w:rsidRPr="00BE5CC3" w:rsidRDefault="002857B2" w:rsidP="002857B2">
            <w:pPr>
              <w:rPr>
                <w:lang w:eastAsia="zh-CN"/>
              </w:rPr>
            </w:pPr>
            <w:r w:rsidRPr="00BE5CC3">
              <w:rPr>
                <w:lang w:eastAsia="zh-CN"/>
              </w:rPr>
              <w:t>20.48</w:t>
            </w:r>
          </w:p>
        </w:tc>
        <w:tc>
          <w:tcPr>
            <w:tcW w:w="1603" w:type="dxa"/>
          </w:tcPr>
          <w:p w14:paraId="3F57DA1E" w14:textId="5C9957A8" w:rsidR="002857B2" w:rsidRPr="00BE5CC3" w:rsidRDefault="002857B2" w:rsidP="002857B2">
            <w:pPr>
              <w:rPr>
                <w:lang w:eastAsia="zh-CN"/>
              </w:rPr>
            </w:pPr>
            <w:r w:rsidRPr="00BE5CC3">
              <w:rPr>
                <w:lang w:eastAsia="zh-CN"/>
              </w:rPr>
              <w:t>64</w:t>
            </w:r>
          </w:p>
        </w:tc>
        <w:tc>
          <w:tcPr>
            <w:tcW w:w="1603" w:type="dxa"/>
          </w:tcPr>
          <w:p w14:paraId="2857983A" w14:textId="466BB890" w:rsidR="002857B2" w:rsidRDefault="002857B2" w:rsidP="002857B2">
            <w:pPr>
              <w:rPr>
                <w:lang w:eastAsia="zh-CN"/>
              </w:rPr>
            </w:pPr>
            <w:r>
              <w:rPr>
                <w:lang w:eastAsia="zh-CN"/>
              </w:rPr>
              <w:t>16</w:t>
            </w:r>
          </w:p>
        </w:tc>
      </w:tr>
      <w:tr w:rsidR="002857B2" w14:paraId="0C8F2E77" w14:textId="77777777" w:rsidTr="002857B2">
        <w:trPr>
          <w:jc w:val="center"/>
        </w:trPr>
        <w:tc>
          <w:tcPr>
            <w:tcW w:w="1602" w:type="dxa"/>
          </w:tcPr>
          <w:p w14:paraId="5FD60C6B" w14:textId="30D331B3" w:rsidR="002857B2" w:rsidRDefault="002857B2" w:rsidP="002857B2">
            <w:pPr>
              <w:rPr>
                <w:lang w:eastAsia="zh-CN"/>
              </w:rPr>
            </w:pPr>
            <w:r>
              <w:rPr>
                <w:lang w:eastAsia="zh-CN"/>
              </w:rPr>
              <w:t>0.64</w:t>
            </w:r>
          </w:p>
        </w:tc>
        <w:tc>
          <w:tcPr>
            <w:tcW w:w="1603" w:type="dxa"/>
          </w:tcPr>
          <w:p w14:paraId="31A73D23" w14:textId="3126772C" w:rsidR="002857B2" w:rsidRDefault="002857B2" w:rsidP="002857B2">
            <w:pPr>
              <w:rPr>
                <w:lang w:eastAsia="zh-CN"/>
              </w:rPr>
            </w:pPr>
            <w:r>
              <w:rPr>
                <w:lang w:eastAsia="zh-CN"/>
              </w:rPr>
              <w:t>20.48</w:t>
            </w:r>
          </w:p>
        </w:tc>
        <w:tc>
          <w:tcPr>
            <w:tcW w:w="1603" w:type="dxa"/>
          </w:tcPr>
          <w:p w14:paraId="77E14080" w14:textId="737F2BC5" w:rsidR="002857B2" w:rsidRDefault="002857B2" w:rsidP="002857B2">
            <w:pPr>
              <w:rPr>
                <w:lang w:eastAsia="zh-CN"/>
              </w:rPr>
            </w:pPr>
            <w:r>
              <w:rPr>
                <w:lang w:eastAsia="zh-CN"/>
              </w:rPr>
              <w:t>32</w:t>
            </w:r>
          </w:p>
        </w:tc>
        <w:tc>
          <w:tcPr>
            <w:tcW w:w="1603" w:type="dxa"/>
          </w:tcPr>
          <w:p w14:paraId="17747812" w14:textId="2DE3A5DD" w:rsidR="002857B2" w:rsidRDefault="002857B2" w:rsidP="002857B2">
            <w:pPr>
              <w:rPr>
                <w:lang w:eastAsia="zh-CN"/>
              </w:rPr>
            </w:pPr>
            <w:r>
              <w:rPr>
                <w:lang w:eastAsia="zh-CN"/>
              </w:rPr>
              <w:t>10</w:t>
            </w:r>
          </w:p>
        </w:tc>
      </w:tr>
      <w:tr w:rsidR="002857B2" w14:paraId="120CDBCE" w14:textId="77777777" w:rsidTr="002857B2">
        <w:trPr>
          <w:jc w:val="center"/>
        </w:trPr>
        <w:tc>
          <w:tcPr>
            <w:tcW w:w="1602" w:type="dxa"/>
          </w:tcPr>
          <w:p w14:paraId="6BF644C6" w14:textId="2BB68FFA" w:rsidR="002857B2" w:rsidRDefault="002857B2" w:rsidP="002857B2">
            <w:pPr>
              <w:rPr>
                <w:lang w:eastAsia="zh-CN"/>
              </w:rPr>
            </w:pPr>
            <w:r>
              <w:rPr>
                <w:lang w:eastAsia="zh-CN"/>
              </w:rPr>
              <w:t>1.28</w:t>
            </w:r>
          </w:p>
        </w:tc>
        <w:tc>
          <w:tcPr>
            <w:tcW w:w="1603" w:type="dxa"/>
          </w:tcPr>
          <w:p w14:paraId="61B94CF3" w14:textId="15BE3E1E" w:rsidR="002857B2" w:rsidRDefault="002857B2" w:rsidP="002857B2">
            <w:pPr>
              <w:rPr>
                <w:lang w:eastAsia="zh-CN"/>
              </w:rPr>
            </w:pPr>
            <w:r>
              <w:rPr>
                <w:lang w:eastAsia="zh-CN"/>
              </w:rPr>
              <w:t>20.48</w:t>
            </w:r>
          </w:p>
        </w:tc>
        <w:tc>
          <w:tcPr>
            <w:tcW w:w="1603" w:type="dxa"/>
          </w:tcPr>
          <w:p w14:paraId="1CC9EB35" w14:textId="6F1AEC03" w:rsidR="002857B2" w:rsidRDefault="002857B2" w:rsidP="002857B2">
            <w:pPr>
              <w:rPr>
                <w:lang w:eastAsia="zh-CN"/>
              </w:rPr>
            </w:pPr>
            <w:r>
              <w:rPr>
                <w:lang w:eastAsia="zh-CN"/>
              </w:rPr>
              <w:t>16</w:t>
            </w:r>
          </w:p>
        </w:tc>
        <w:tc>
          <w:tcPr>
            <w:tcW w:w="1603" w:type="dxa"/>
          </w:tcPr>
          <w:p w14:paraId="09511D6F" w14:textId="115EEB4D" w:rsidR="002857B2" w:rsidRDefault="002857B2" w:rsidP="002857B2">
            <w:pPr>
              <w:rPr>
                <w:lang w:eastAsia="zh-CN"/>
              </w:rPr>
            </w:pPr>
            <w:r>
              <w:rPr>
                <w:lang w:eastAsia="zh-CN"/>
              </w:rPr>
              <w:t>8</w:t>
            </w:r>
          </w:p>
        </w:tc>
      </w:tr>
      <w:tr w:rsidR="002857B2" w14:paraId="6751EC4C" w14:textId="77777777" w:rsidTr="002857B2">
        <w:trPr>
          <w:jc w:val="center"/>
        </w:trPr>
        <w:tc>
          <w:tcPr>
            <w:tcW w:w="1602" w:type="dxa"/>
          </w:tcPr>
          <w:p w14:paraId="125926EF" w14:textId="47E7D5A8" w:rsidR="002857B2" w:rsidRDefault="002857B2" w:rsidP="002857B2">
            <w:pPr>
              <w:rPr>
                <w:lang w:eastAsia="zh-CN"/>
              </w:rPr>
            </w:pPr>
            <w:r>
              <w:rPr>
                <w:lang w:eastAsia="zh-CN"/>
              </w:rPr>
              <w:t>2.56</w:t>
            </w:r>
          </w:p>
        </w:tc>
        <w:tc>
          <w:tcPr>
            <w:tcW w:w="1603" w:type="dxa"/>
          </w:tcPr>
          <w:p w14:paraId="0137620A" w14:textId="23FC66E6" w:rsidR="002857B2" w:rsidRDefault="002857B2" w:rsidP="002857B2">
            <w:pPr>
              <w:rPr>
                <w:lang w:eastAsia="zh-CN"/>
              </w:rPr>
            </w:pPr>
            <w:r>
              <w:rPr>
                <w:lang w:eastAsia="zh-CN"/>
              </w:rPr>
              <w:t>20.48</w:t>
            </w:r>
          </w:p>
        </w:tc>
        <w:tc>
          <w:tcPr>
            <w:tcW w:w="1603" w:type="dxa"/>
          </w:tcPr>
          <w:p w14:paraId="44B8CA7C" w14:textId="76DD2EFD" w:rsidR="002857B2" w:rsidRDefault="002857B2" w:rsidP="002857B2">
            <w:pPr>
              <w:rPr>
                <w:lang w:eastAsia="zh-CN"/>
              </w:rPr>
            </w:pPr>
            <w:r>
              <w:rPr>
                <w:lang w:eastAsia="zh-CN"/>
              </w:rPr>
              <w:t>8</w:t>
            </w:r>
          </w:p>
        </w:tc>
        <w:tc>
          <w:tcPr>
            <w:tcW w:w="1603" w:type="dxa"/>
          </w:tcPr>
          <w:p w14:paraId="003CE160" w14:textId="01759E8D" w:rsidR="002857B2" w:rsidRDefault="002857B2" w:rsidP="002857B2">
            <w:pPr>
              <w:rPr>
                <w:lang w:eastAsia="zh-CN"/>
              </w:rPr>
            </w:pPr>
            <w:r>
              <w:rPr>
                <w:lang w:eastAsia="zh-CN"/>
              </w:rPr>
              <w:t>6</w:t>
            </w:r>
          </w:p>
        </w:tc>
      </w:tr>
    </w:tbl>
    <w:p w14:paraId="254ADDD7" w14:textId="77777777" w:rsidR="002857B2" w:rsidRDefault="002857B2" w:rsidP="00020FCB">
      <w:pPr>
        <w:rPr>
          <w:lang w:eastAsia="zh-CN"/>
        </w:rPr>
      </w:pPr>
    </w:p>
    <w:p w14:paraId="24411106" w14:textId="77777777" w:rsidR="00E5736D" w:rsidRDefault="00E5736D" w:rsidP="00020FCB">
      <w:pPr>
        <w:rPr>
          <w:lang w:eastAsia="zh-CN"/>
        </w:rPr>
      </w:pPr>
    </w:p>
    <w:p w14:paraId="286C3349" w14:textId="77777777" w:rsidR="00E5736D" w:rsidRDefault="00E5736D" w:rsidP="00020FCB">
      <w:pPr>
        <w:rPr>
          <w:lang w:eastAsia="zh-CN"/>
        </w:rPr>
      </w:pPr>
    </w:p>
    <w:p w14:paraId="4D35DD12" w14:textId="77777777" w:rsidR="002B0E9C" w:rsidRDefault="0064111A" w:rsidP="00BF15B1">
      <w:pPr>
        <w:rPr>
          <w:lang w:eastAsia="zh-CN"/>
        </w:rPr>
      </w:pPr>
      <w:r>
        <w:rPr>
          <w:lang w:eastAsia="zh-CN"/>
        </w:rPr>
        <w:t xml:space="preserve"> </w:t>
      </w:r>
      <w:r w:rsidR="00BF15B1">
        <w:rPr>
          <w:lang w:eastAsia="zh-CN"/>
        </w:rPr>
        <w:t>According to TS</w:t>
      </w:r>
      <w:r w:rsidR="00877049">
        <w:rPr>
          <w:lang w:eastAsia="zh-CN"/>
        </w:rPr>
        <w:t xml:space="preserve"> 38.840, the total transition time </w:t>
      </w:r>
      <w:r w:rsidR="00B411F1">
        <w:rPr>
          <w:lang w:eastAsia="zh-CN"/>
        </w:rPr>
        <w:t xml:space="preserve">(ramp down and ramp up) </w:t>
      </w:r>
      <w:r w:rsidR="00877049">
        <w:rPr>
          <w:lang w:eastAsia="zh-CN"/>
        </w:rPr>
        <w:t>for a deep sleep is 20 ms. So</w:t>
      </w:r>
      <w:r w:rsidR="005D7914">
        <w:rPr>
          <w:lang w:eastAsia="zh-CN"/>
        </w:rPr>
        <w:t>,</w:t>
      </w:r>
      <w:r w:rsidR="00877049">
        <w:rPr>
          <w:lang w:eastAsia="zh-CN"/>
        </w:rPr>
        <w:t xml:space="preserve"> in </w:t>
      </w:r>
      <w:r w:rsidR="00BF15B1">
        <w:rPr>
          <w:lang w:eastAsia="zh-CN"/>
        </w:rPr>
        <w:t>all</w:t>
      </w:r>
      <w:r w:rsidR="00877049">
        <w:rPr>
          <w:lang w:eastAsia="zh-CN"/>
        </w:rPr>
        <w:t xml:space="preserve"> cases</w:t>
      </w:r>
      <w:r w:rsidR="00BF15B1">
        <w:rPr>
          <w:lang w:eastAsia="zh-CN"/>
        </w:rPr>
        <w:t xml:space="preserve"> shown in Table 1</w:t>
      </w:r>
      <w:r w:rsidR="00877049">
        <w:rPr>
          <w:lang w:eastAsia="zh-CN"/>
        </w:rPr>
        <w:t>, the UE could go to a deep sleep between the DRX cycles</w:t>
      </w:r>
      <w:r w:rsidR="00BF15B1">
        <w:rPr>
          <w:lang w:eastAsia="zh-CN"/>
        </w:rPr>
        <w:t xml:space="preserve">, and the total power would be calculated based on the number of wake ups. The case that is still in FFS, the combination of DRX cycle = 0.32ms and eDRX cycle = 20.48s would lead to 16 wake-ups within a period of 20.48s. In terms of power saving, other configurations could be more beneficial for the UE, such as DRX = 2.56s or any other eDRX cycle configuration. </w:t>
      </w:r>
    </w:p>
    <w:p w14:paraId="178CD3CB" w14:textId="1278B404" w:rsidR="002B0E9C" w:rsidRDefault="002B0E9C" w:rsidP="002B0E9C">
      <w:pPr>
        <w:pStyle w:val="RAN4observation0"/>
        <w:rPr>
          <w:lang w:eastAsia="zh-CN"/>
        </w:rPr>
      </w:pPr>
      <w:r>
        <w:rPr>
          <w:lang w:eastAsia="zh-CN"/>
        </w:rPr>
        <w:t>The combination of eDRX cycle = 20.48s and DRX cycle = 0.32s leads to same UE power saving</w:t>
      </w:r>
      <w:r w:rsidR="00C81BC8">
        <w:rPr>
          <w:lang w:eastAsia="zh-CN"/>
        </w:rPr>
        <w:t xml:space="preserve"> as other DRX cycle configurations.</w:t>
      </w:r>
    </w:p>
    <w:p w14:paraId="44057B1E" w14:textId="77777777" w:rsidR="002B0E9C" w:rsidRDefault="002B0E9C" w:rsidP="002B0E9C">
      <w:pPr>
        <w:pStyle w:val="RAN4observation0"/>
        <w:numPr>
          <w:ilvl w:val="0"/>
          <w:numId w:val="0"/>
        </w:numPr>
        <w:rPr>
          <w:lang w:eastAsia="zh-CN"/>
        </w:rPr>
      </w:pPr>
    </w:p>
    <w:p w14:paraId="51507035" w14:textId="4E685330" w:rsidR="002B0E9C" w:rsidRDefault="002B0E9C" w:rsidP="002B0E9C">
      <w:pPr>
        <w:pStyle w:val="RAN4observation0"/>
        <w:numPr>
          <w:ilvl w:val="0"/>
          <w:numId w:val="0"/>
        </w:numPr>
        <w:rPr>
          <w:lang w:eastAsia="zh-CN"/>
        </w:rPr>
      </w:pPr>
      <w:r>
        <w:rPr>
          <w:lang w:eastAsia="zh-CN"/>
        </w:rPr>
        <w:t>However, despite the fact that the same UE power saving could be achieved by other configurations is not enough, in our view, to justify the exclusion of this possibility from the network configuration</w:t>
      </w:r>
      <w:r w:rsidR="00C81BC8">
        <w:rPr>
          <w:lang w:eastAsia="zh-CN"/>
        </w:rPr>
        <w:t>, and this combination is still possible. Therefore, in our view, RAN4 should also define requirements for this combination.</w:t>
      </w:r>
    </w:p>
    <w:p w14:paraId="620B2818" w14:textId="42F28ABB" w:rsidR="002B0E9C" w:rsidRDefault="002B0E9C" w:rsidP="006211C2">
      <w:pPr>
        <w:pStyle w:val="RAN4proposal"/>
        <w:rPr>
          <w:lang w:val="en-GB" w:eastAsia="zh-CN"/>
        </w:rPr>
      </w:pPr>
      <w:r w:rsidRPr="002B0E9C">
        <w:rPr>
          <w:lang w:val="en-GB" w:eastAsia="zh-CN"/>
        </w:rPr>
        <w:t>Define</w:t>
      </w:r>
      <w:r w:rsidR="00C81BC8">
        <w:rPr>
          <w:lang w:val="en-GB" w:eastAsia="zh-CN"/>
        </w:rPr>
        <w:t xml:space="preserve"> serving cell</w:t>
      </w:r>
      <w:r w:rsidRPr="002B0E9C">
        <w:rPr>
          <w:lang w:val="en-GB" w:eastAsia="zh-CN"/>
        </w:rPr>
        <w:t xml:space="preserve"> </w:t>
      </w:r>
      <w:r w:rsidR="00BE5CC3">
        <w:rPr>
          <w:lang w:val="en-GB" w:eastAsia="zh-CN"/>
        </w:rPr>
        <w:t xml:space="preserve">measurement </w:t>
      </w:r>
      <w:r w:rsidRPr="002B0E9C">
        <w:rPr>
          <w:lang w:val="en-GB" w:eastAsia="zh-CN"/>
        </w:rPr>
        <w:t>requirements for eDRX</w:t>
      </w:r>
      <w:r w:rsidR="00C81BC8">
        <w:rPr>
          <w:lang w:val="en-GB" w:eastAsia="zh-CN"/>
        </w:rPr>
        <w:t xml:space="preserve"> cycle</w:t>
      </w:r>
      <w:r w:rsidRPr="002B0E9C">
        <w:rPr>
          <w:lang w:val="en-GB" w:eastAsia="zh-CN"/>
        </w:rPr>
        <w:t xml:space="preserve"> = 20.48s and DRX </w:t>
      </w:r>
      <w:r w:rsidR="00C81BC8">
        <w:rPr>
          <w:lang w:val="en-GB" w:eastAsia="zh-CN"/>
        </w:rPr>
        <w:t xml:space="preserve">cycle </w:t>
      </w:r>
      <w:r w:rsidRPr="002B0E9C">
        <w:rPr>
          <w:lang w:val="en-GB" w:eastAsia="zh-CN"/>
        </w:rPr>
        <w:t>= 0.32s</w:t>
      </w:r>
      <w:r w:rsidR="00C81BC8">
        <w:rPr>
          <w:lang w:val="en-GB" w:eastAsia="zh-CN"/>
        </w:rPr>
        <w:t>.</w:t>
      </w:r>
    </w:p>
    <w:p w14:paraId="087DC813" w14:textId="5F75D719" w:rsidR="0057600C" w:rsidRPr="0057600C" w:rsidRDefault="0057600C" w:rsidP="0057600C">
      <w:pPr>
        <w:pStyle w:val="RAN4H2"/>
      </w:pPr>
      <w:r w:rsidRPr="00040E38">
        <w:t xml:space="preserve">2.2 </w:t>
      </w:r>
      <w:r w:rsidRPr="00040E38">
        <w:tab/>
      </w:r>
      <w:r w:rsidR="00306502">
        <w:t>IDLE</w:t>
      </w:r>
      <w:r w:rsidRPr="00040E38">
        <w:t xml:space="preserve"> state cell reselection eDRX requirements</w:t>
      </w:r>
      <w:r w:rsidRPr="0057600C">
        <w:t xml:space="preserve"> </w:t>
      </w:r>
    </w:p>
    <w:p w14:paraId="0E1A6B92" w14:textId="4AF91239" w:rsidR="00306502" w:rsidRDefault="00306502" w:rsidP="00306502">
      <w:pPr>
        <w:pStyle w:val="RAN4observation0"/>
        <w:numPr>
          <w:ilvl w:val="0"/>
          <w:numId w:val="0"/>
        </w:numPr>
        <w:rPr>
          <w:lang w:eastAsia="zh-CN"/>
        </w:rPr>
      </w:pPr>
      <w:r>
        <w:rPr>
          <w:lang w:eastAsia="zh-CN"/>
        </w:rPr>
        <w:t xml:space="preserve">Similar to the serving cell requirements discussed in the last Section, the cell reselection requirements for the combination of eDRX cycle = 20.48s and DRX cycle = 0.32s were also marked as FFS in the last meeting. Again, it is our view that the fact that this combination leads to the same power saving as other combination of parameters is not enough to justify excluding it from the allowed configurations. Therefore, we propose: </w:t>
      </w:r>
    </w:p>
    <w:p w14:paraId="490C2DAB" w14:textId="45CE1578" w:rsidR="000040B1" w:rsidRPr="00C81BC8" w:rsidRDefault="000040B1" w:rsidP="000040B1">
      <w:pPr>
        <w:pStyle w:val="RAN4proposal"/>
        <w:rPr>
          <w:lang w:val="en-GB" w:eastAsia="zh-CN"/>
        </w:rPr>
      </w:pPr>
      <w:r>
        <w:rPr>
          <w:lang w:val="en-GB" w:eastAsia="zh-CN"/>
        </w:rPr>
        <w:t>Define cell reselection requirements for eDRX cycle = 20.48s and DRX cycle = 0.32s.</w:t>
      </w:r>
    </w:p>
    <w:p w14:paraId="1D7C6A71" w14:textId="4E829F46" w:rsidR="000040B1" w:rsidRPr="000040B1" w:rsidRDefault="00306502" w:rsidP="00306502">
      <w:pPr>
        <w:pStyle w:val="RAN4H2"/>
      </w:pPr>
      <w:r>
        <w:t xml:space="preserve">2.3 </w:t>
      </w:r>
      <w:r>
        <w:tab/>
        <w:t>INACTIVE state eDRX requirements</w:t>
      </w:r>
    </w:p>
    <w:p w14:paraId="1481C1E3" w14:textId="77777777" w:rsidR="00761942" w:rsidRDefault="00EE7F4D" w:rsidP="003D4685">
      <w:r>
        <w:t>In the last RAN4 meeting</w:t>
      </w:r>
      <w:r w:rsidR="003D4685">
        <w:t>, the requirements for INACTIVE state eDRX were also left open for discussion.</w:t>
      </w:r>
      <w:r w:rsidR="00761942">
        <w:t xml:space="preserve"> </w:t>
      </w:r>
    </w:p>
    <w:p w14:paraId="3CCEB68E" w14:textId="78C4FA64" w:rsidR="003D4685" w:rsidRDefault="00761942" w:rsidP="003D4685">
      <w:r>
        <w:t xml:space="preserve">RAN2 has discussed the case in which there might be state mismatch between the UE and the network, in which the UE in RRC_INACTIVE also needs to monitor CN paging to avoid paging miss. During some meetings, RAN2 has discussed the paging monitoring mechanism in extended DRX for different combinations of eDRX in IDLE and INACTIVE modes to ensure that the UE can be reached by RAN paging and CN paging. The following agreements were reached: </w:t>
      </w:r>
    </w:p>
    <w:tbl>
      <w:tblPr>
        <w:tblStyle w:val="TableGrid"/>
        <w:tblW w:w="0" w:type="auto"/>
        <w:tblLook w:val="04A0" w:firstRow="1" w:lastRow="0" w:firstColumn="1" w:lastColumn="0" w:noHBand="0" w:noVBand="1"/>
      </w:tblPr>
      <w:tblGrid>
        <w:gridCol w:w="9617"/>
      </w:tblGrid>
      <w:tr w:rsidR="003D4685" w14:paraId="3B91B977" w14:textId="77777777" w:rsidTr="003D4685">
        <w:tc>
          <w:tcPr>
            <w:tcW w:w="9617" w:type="dxa"/>
          </w:tcPr>
          <w:p w14:paraId="671881E5" w14:textId="323C185E" w:rsidR="003D4685" w:rsidRPr="00BE5CC3" w:rsidRDefault="003D4685" w:rsidP="003D4685">
            <w:r w:rsidRPr="00BE5CC3">
              <w:t>Agreements in RAN2 116e:</w:t>
            </w:r>
          </w:p>
          <w:p w14:paraId="704172D5" w14:textId="77777777" w:rsidR="003D4685" w:rsidRPr="00BE5CC3"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The max eDRX cycle length for RRC Inactive is 10.24s in Rel-17</w:t>
            </w:r>
          </w:p>
          <w:p w14:paraId="19DF3943" w14:textId="77777777" w:rsidR="003D4685" w:rsidRPr="00BE5CC3"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PO determination for non-overlapping CN/RN case is applicable to eDRX</w:t>
            </w:r>
          </w:p>
          <w:p w14:paraId="23A477C3" w14:textId="77777777" w:rsidR="003D4685" w:rsidRPr="00BE5CC3"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When IDLE eDRX and INACTIVE eDRX are configured and both cycles are no longer than 10.24s, PO is determined by IDLE eDRX.</w:t>
            </w:r>
          </w:p>
          <w:p w14:paraId="7793450F" w14:textId="77777777" w:rsidR="003D4685" w:rsidRPr="00BE5CC3"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When IDLE eDRX is configured and is no longer than 10.24s, INACITVE eDRX cycle is not configured, PO is determined by IDLE eDRX.</w:t>
            </w:r>
          </w:p>
          <w:p w14:paraId="67CD4CC1" w14:textId="77777777" w:rsidR="003D4685" w:rsidRPr="00BE5CC3"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During CN PTW when IDLE eDRX is configured and longer than 10.24s, and INACTIVE eDRX is configured, PO is determined by the shortest value of default paging cycle and UE specific DRX cycle if configured by upper layer.</w:t>
            </w:r>
          </w:p>
          <w:p w14:paraId="4A066F24" w14:textId="77777777" w:rsidR="003D4685" w:rsidRPr="00BE5CC3"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During CN PTW when IDLE eDRX is configure and is longer than 10.24s, INACTIVE eDRX cycle is not configured, PO is determined by the shortest value of default paging cycle and UE specific DRX cycle if configured by upper layer.</w:t>
            </w:r>
          </w:p>
          <w:p w14:paraId="467F9EC5" w14:textId="3321D44F" w:rsidR="003D4685" w:rsidRDefault="003D4685" w:rsidP="003D4685">
            <w:pPr>
              <w:numPr>
                <w:ilvl w:val="0"/>
                <w:numId w:val="35"/>
              </w:numPr>
              <w:textAlignment w:val="center"/>
              <w:rPr>
                <w:rFonts w:ascii="Arial" w:eastAsia="Times New Roman" w:hAnsi="Arial" w:cs="Arial"/>
                <w:szCs w:val="20"/>
                <w:lang w:val="en-GB" w:eastAsia="da-DK"/>
              </w:rPr>
            </w:pPr>
            <w:r w:rsidRPr="00BE5CC3">
              <w:rPr>
                <w:rFonts w:ascii="Arial" w:eastAsia="Times New Roman" w:hAnsi="Arial" w:cs="Arial"/>
                <w:szCs w:val="20"/>
                <w:lang w:val="en-GB" w:eastAsia="da-DK"/>
              </w:rPr>
              <w:t xml:space="preserve">eDRX supporting UEs are assumed to also support </w:t>
            </w:r>
            <w:r w:rsidRPr="003D4685">
              <w:rPr>
                <w:rFonts w:ascii="Arial" w:eastAsia="Times New Roman" w:hAnsi="Arial" w:cs="Arial"/>
                <w:szCs w:val="20"/>
                <w:lang w:val="en-GB" w:eastAsia="da-DK"/>
              </w:rPr>
              <w:t>the UE capability on PO determination for non overlapping CN/RN case (Further discuss on the reporting of eDRX capability)</w:t>
            </w:r>
          </w:p>
          <w:p w14:paraId="33DABB0F" w14:textId="6946F88D" w:rsidR="00016F76" w:rsidRDefault="00016F76" w:rsidP="00016F76">
            <w:pPr>
              <w:textAlignment w:val="center"/>
              <w:rPr>
                <w:rFonts w:ascii="Arial" w:eastAsia="Times New Roman" w:hAnsi="Arial" w:cs="Arial"/>
                <w:szCs w:val="20"/>
                <w:lang w:val="en-GB" w:eastAsia="da-DK"/>
              </w:rPr>
            </w:pPr>
          </w:p>
          <w:p w14:paraId="1AB8BDFE" w14:textId="77777777" w:rsidR="00016F76" w:rsidRPr="00016F76" w:rsidRDefault="00016F76" w:rsidP="00016F76">
            <w:pPr>
              <w:numPr>
                <w:ilvl w:val="0"/>
                <w:numId w:val="36"/>
              </w:numPr>
              <w:textAlignment w:val="center"/>
              <w:rPr>
                <w:rFonts w:ascii="Arial" w:eastAsia="Times New Roman" w:hAnsi="Arial" w:cs="Arial"/>
                <w:szCs w:val="20"/>
                <w:lang w:val="en-GB" w:eastAsia="da-DK"/>
              </w:rPr>
            </w:pPr>
            <w:r w:rsidRPr="00016F76">
              <w:rPr>
                <w:rFonts w:ascii="Arial" w:eastAsia="Times New Roman" w:hAnsi="Arial" w:cs="Arial"/>
                <w:szCs w:val="20"/>
                <w:lang w:val="en-GB" w:eastAsia="da-DK"/>
              </w:rPr>
              <w:t>For the eDRX PTW start calculation, agree to N=8. No signalling needed to CN.</w:t>
            </w:r>
          </w:p>
          <w:p w14:paraId="3C5D6F99" w14:textId="77777777" w:rsidR="00016F76" w:rsidRPr="00016F76" w:rsidRDefault="00016F76" w:rsidP="00016F76">
            <w:pPr>
              <w:ind w:left="288"/>
              <w:rPr>
                <w:rFonts w:ascii="Arial" w:eastAsia="Times New Roman" w:hAnsi="Arial" w:cs="Arial"/>
                <w:szCs w:val="20"/>
                <w:lang w:val="en-GB" w:eastAsia="da-DK"/>
              </w:rPr>
            </w:pPr>
            <w:r w:rsidRPr="00016F76">
              <w:rPr>
                <w:rFonts w:ascii="Arial" w:eastAsia="Times New Roman" w:hAnsi="Arial" w:cs="Arial"/>
                <w:szCs w:val="20"/>
                <w:lang w:val="en-GB" w:eastAsia="da-DK"/>
              </w:rPr>
              <w:t>2.    The eDRX acquisition period is the same for IDLE and INACTIVE.</w:t>
            </w:r>
          </w:p>
          <w:p w14:paraId="678F0E81" w14:textId="77777777" w:rsidR="00016F76" w:rsidRPr="00761942" w:rsidRDefault="00016F76" w:rsidP="00016F76">
            <w:pPr>
              <w:ind w:left="288"/>
              <w:rPr>
                <w:rFonts w:ascii="Arial" w:eastAsia="Times New Roman" w:hAnsi="Arial" w:cs="Arial"/>
                <w:szCs w:val="20"/>
                <w:lang w:val="en-GB" w:eastAsia="da-DK"/>
              </w:rPr>
            </w:pPr>
            <w:r w:rsidRPr="00761942">
              <w:rPr>
                <w:rFonts w:ascii="Arial" w:eastAsia="Times New Roman" w:hAnsi="Arial" w:cs="Arial"/>
                <w:szCs w:val="20"/>
                <w:lang w:val="en-GB" w:eastAsia="da-DK"/>
              </w:rPr>
              <w:t>3.    A)    For RRC_INACTIVE UE, when IDLE eDRX cycle is no longer than 10.24s and INACTIVE eDRX cycle is not configured, T is determined by the shortest of RAN paging cycle and IDLE eDRX cycle.</w:t>
            </w:r>
          </w:p>
          <w:p w14:paraId="62BA2BB6" w14:textId="6AA0C967" w:rsidR="00016F76" w:rsidRPr="003D4685" w:rsidRDefault="00016F76" w:rsidP="00016F76">
            <w:pPr>
              <w:ind w:left="1080"/>
              <w:rPr>
                <w:rFonts w:ascii="Arial" w:eastAsia="Times New Roman" w:hAnsi="Arial" w:cs="Arial"/>
                <w:szCs w:val="20"/>
                <w:lang w:val="en-GB" w:eastAsia="da-DK"/>
              </w:rPr>
            </w:pPr>
            <w:r w:rsidRPr="00761942">
              <w:rPr>
                <w:rFonts w:ascii="Arial" w:eastAsia="Times New Roman" w:hAnsi="Arial" w:cs="Arial"/>
                <w:szCs w:val="20"/>
                <w:lang w:val="en-GB" w:eastAsia="da-DK"/>
              </w:rPr>
              <w:t>B)    For RRC_INACTIVE UE, when IDLE eDRX cycle is longer than 10.24s and INACTIVE eDRX cycle is not configured, outside CN PTW, T is determined by RAN paging cycle.</w:t>
            </w:r>
          </w:p>
          <w:p w14:paraId="66FAB8D5" w14:textId="001CACA9" w:rsidR="003D4685" w:rsidRDefault="003D4685" w:rsidP="003D4685"/>
        </w:tc>
      </w:tr>
    </w:tbl>
    <w:p w14:paraId="66A7A528" w14:textId="77777777" w:rsidR="003D4685" w:rsidRDefault="003D4685" w:rsidP="003D4685"/>
    <w:tbl>
      <w:tblPr>
        <w:tblStyle w:val="TableGrid"/>
        <w:tblW w:w="0" w:type="auto"/>
        <w:tblLook w:val="04A0" w:firstRow="1" w:lastRow="0" w:firstColumn="1" w:lastColumn="0" w:noHBand="0" w:noVBand="1"/>
      </w:tblPr>
      <w:tblGrid>
        <w:gridCol w:w="9617"/>
      </w:tblGrid>
      <w:tr w:rsidR="003D4685" w14:paraId="2E2A2532" w14:textId="77777777" w:rsidTr="003D4685">
        <w:tc>
          <w:tcPr>
            <w:tcW w:w="9617" w:type="dxa"/>
          </w:tcPr>
          <w:p w14:paraId="6EAFA487" w14:textId="584F496B" w:rsidR="003D4685" w:rsidRDefault="003D4685" w:rsidP="003D4685">
            <w:pPr>
              <w:rPr>
                <w:rFonts w:ascii="Arial" w:eastAsia="Times New Roman" w:hAnsi="Arial" w:cs="Arial"/>
                <w:szCs w:val="20"/>
                <w:lang w:val="en-GB" w:eastAsia="da-DK"/>
              </w:rPr>
            </w:pPr>
            <w:r>
              <w:rPr>
                <w:rFonts w:ascii="Arial" w:eastAsia="Times New Roman" w:hAnsi="Arial" w:cs="Arial"/>
                <w:szCs w:val="20"/>
                <w:lang w:val="en-GB" w:eastAsia="da-DK"/>
              </w:rPr>
              <w:t>Agreements in RAN2 115e:</w:t>
            </w:r>
          </w:p>
          <w:p w14:paraId="0A92FBE4" w14:textId="1C9DD98D" w:rsidR="003D4685" w:rsidRPr="00BE5CC3" w:rsidRDefault="003D4685" w:rsidP="003D4685">
            <w:pPr>
              <w:rPr>
                <w:rFonts w:ascii="Arial" w:eastAsia="Times New Roman" w:hAnsi="Arial" w:cs="Arial"/>
                <w:szCs w:val="20"/>
                <w:lang w:val="en-GB" w:eastAsia="da-DK"/>
              </w:rPr>
            </w:pPr>
            <w:r w:rsidRPr="00BE5CC3">
              <w:rPr>
                <w:rFonts w:ascii="Arial" w:eastAsia="Times New Roman" w:hAnsi="Arial" w:cs="Arial"/>
                <w:szCs w:val="20"/>
                <w:lang w:val="en-GB" w:eastAsia="da-DK"/>
              </w:rPr>
              <w:t>4.    For RRC_INACTIVE UE, when IDLE eDRX cycle is longer than 10.24s and Inactive eDRX cycle is not configured, during CN PTW, T is determined by the shortest of UE specific DRX cycle, if configured by upper layer, RAN paging cycle and default paging cycle.</w:t>
            </w:r>
          </w:p>
          <w:p w14:paraId="43D6183E" w14:textId="7AFFC2F6" w:rsidR="003D4685" w:rsidRDefault="003D4685" w:rsidP="003D4685">
            <w:pPr>
              <w:rPr>
                <w:rFonts w:ascii="Arial" w:eastAsia="Times New Roman" w:hAnsi="Arial" w:cs="Arial"/>
                <w:szCs w:val="20"/>
                <w:lang w:val="en-GB" w:eastAsia="da-DK"/>
              </w:rPr>
            </w:pPr>
            <w:r w:rsidRPr="00BE5CC3">
              <w:rPr>
                <w:rFonts w:ascii="Arial" w:eastAsia="Times New Roman" w:hAnsi="Arial" w:cs="Arial"/>
                <w:szCs w:val="20"/>
                <w:lang w:val="en-GB" w:eastAsia="da-DK"/>
              </w:rPr>
              <w:t>5.    For RRC_INACTIVE UE, when IDLE eDRX cycle is longer than 10.24s and Inactive eDRX cycle is no longer than 10.24s, outside CN PTW, T is determined by INACTIVE eDRX cycle.</w:t>
            </w:r>
          </w:p>
          <w:p w14:paraId="3BC79CCB" w14:textId="77777777" w:rsidR="00761942" w:rsidRDefault="00761942" w:rsidP="003D4685">
            <w:pPr>
              <w:rPr>
                <w:rFonts w:ascii="Arial" w:eastAsia="Times New Roman" w:hAnsi="Arial" w:cs="Arial"/>
                <w:szCs w:val="20"/>
                <w:lang w:val="en-GB" w:eastAsia="da-DK"/>
              </w:rPr>
            </w:pPr>
          </w:p>
          <w:p w14:paraId="40E763DC" w14:textId="2E8191EA" w:rsidR="007720A5" w:rsidRDefault="00761942" w:rsidP="003D4685">
            <w:pPr>
              <w:rPr>
                <w:rFonts w:ascii="Arial" w:eastAsia="Times New Roman" w:hAnsi="Arial" w:cs="Arial"/>
                <w:szCs w:val="20"/>
                <w:lang w:val="en-GB" w:eastAsia="da-DK"/>
              </w:rPr>
            </w:pPr>
            <w:r>
              <w:rPr>
                <w:rFonts w:ascii="Arial" w:eastAsia="Times New Roman" w:hAnsi="Arial" w:cs="Arial"/>
                <w:szCs w:val="20"/>
                <w:lang w:val="en-GB" w:eastAsia="da-DK"/>
              </w:rPr>
              <w:t>…</w:t>
            </w:r>
          </w:p>
          <w:p w14:paraId="31AF55F6" w14:textId="77777777" w:rsidR="00761942" w:rsidRDefault="00761942" w:rsidP="003D4685">
            <w:pPr>
              <w:rPr>
                <w:rFonts w:ascii="Arial" w:eastAsia="Times New Roman" w:hAnsi="Arial" w:cs="Arial"/>
                <w:szCs w:val="20"/>
                <w:lang w:val="en-GB" w:eastAsia="da-DK"/>
              </w:rPr>
            </w:pPr>
          </w:p>
          <w:p w14:paraId="54125CAA" w14:textId="77777777" w:rsidR="007720A5" w:rsidRPr="007720A5" w:rsidRDefault="007720A5" w:rsidP="00761942">
            <w:pPr>
              <w:numPr>
                <w:ilvl w:val="0"/>
                <w:numId w:val="37"/>
              </w:numPr>
              <w:textAlignment w:val="center"/>
              <w:rPr>
                <w:rFonts w:ascii="Arial" w:eastAsia="Times New Roman" w:hAnsi="Arial" w:cs="Arial"/>
                <w:szCs w:val="20"/>
                <w:lang w:val="en-GB" w:eastAsia="da-DK"/>
              </w:rPr>
            </w:pPr>
            <w:r w:rsidRPr="007720A5">
              <w:rPr>
                <w:rFonts w:ascii="Arial" w:eastAsia="Times New Roman" w:hAnsi="Arial" w:cs="Arial"/>
                <w:szCs w:val="20"/>
                <w:lang w:val="en-GB" w:eastAsia="da-DK"/>
              </w:rPr>
              <w:t>Introduce an additional new IE for INACTIVE eDRX to contain all values of INACTIVE eDRX cycles (also include values &gt;10.24, if agreed in future).</w:t>
            </w:r>
          </w:p>
          <w:p w14:paraId="5F79D686" w14:textId="77777777" w:rsidR="007720A5" w:rsidRPr="007720A5" w:rsidRDefault="007720A5" w:rsidP="007720A5">
            <w:pPr>
              <w:numPr>
                <w:ilvl w:val="0"/>
                <w:numId w:val="37"/>
              </w:numPr>
              <w:textAlignment w:val="center"/>
              <w:rPr>
                <w:rFonts w:ascii="Arial" w:eastAsia="Times New Roman" w:hAnsi="Arial" w:cs="Arial"/>
                <w:szCs w:val="20"/>
                <w:lang w:val="en-GB" w:eastAsia="da-DK"/>
              </w:rPr>
            </w:pPr>
            <w:r w:rsidRPr="007720A5">
              <w:rPr>
                <w:rFonts w:ascii="Arial" w:eastAsia="Times New Roman" w:hAnsi="Arial" w:cs="Arial"/>
                <w:szCs w:val="20"/>
                <w:lang w:val="en-GB" w:eastAsia="da-DK"/>
              </w:rPr>
              <w:t>For RRC_INACTIVE UE, when IDLE eDRX cycle is no longer than 10.24s and INACTIVE eDRX cycle is no longer than 10.24s, T is determined by the shortest of IDLE eDRX cycle and INACTIVE eDRX cycle.</w:t>
            </w:r>
          </w:p>
          <w:p w14:paraId="6027BAAE" w14:textId="77777777" w:rsidR="007720A5" w:rsidRPr="007720A5" w:rsidRDefault="007720A5" w:rsidP="007720A5">
            <w:pPr>
              <w:numPr>
                <w:ilvl w:val="0"/>
                <w:numId w:val="37"/>
              </w:numPr>
              <w:textAlignment w:val="center"/>
              <w:rPr>
                <w:rFonts w:ascii="Arial" w:eastAsia="Times New Roman" w:hAnsi="Arial" w:cs="Arial"/>
                <w:szCs w:val="20"/>
                <w:lang w:val="en-GB" w:eastAsia="da-DK"/>
              </w:rPr>
            </w:pPr>
            <w:r w:rsidRPr="007720A5">
              <w:rPr>
                <w:rFonts w:ascii="Arial" w:eastAsia="Times New Roman" w:hAnsi="Arial" w:cs="Arial"/>
                <w:szCs w:val="20"/>
                <w:lang w:val="en-GB" w:eastAsia="da-DK"/>
              </w:rPr>
              <w:t>For RRC_INACTIVE UE, when IDLE eDRX cycle is longer than 10.24s and INACTIVE eDRX cycle is no longer than 10.24s, during CN PTW, T is determined by the shortest of UE specific DRX cycle, if configured by upper layer, INACTIVE eDRX cycle and default paging cycle.</w:t>
            </w:r>
          </w:p>
          <w:p w14:paraId="6F31838B" w14:textId="77777777" w:rsidR="007720A5" w:rsidRPr="007720A5" w:rsidRDefault="007720A5" w:rsidP="007720A5">
            <w:pPr>
              <w:numPr>
                <w:ilvl w:val="0"/>
                <w:numId w:val="37"/>
              </w:numPr>
              <w:textAlignment w:val="center"/>
              <w:rPr>
                <w:rFonts w:ascii="Arial" w:eastAsia="Times New Roman" w:hAnsi="Arial" w:cs="Arial"/>
                <w:szCs w:val="20"/>
                <w:lang w:val="en-GB" w:eastAsia="da-DK"/>
              </w:rPr>
            </w:pPr>
            <w:r w:rsidRPr="007720A5">
              <w:rPr>
                <w:rFonts w:ascii="Arial" w:eastAsia="Times New Roman" w:hAnsi="Arial" w:cs="Arial"/>
                <w:szCs w:val="20"/>
                <w:lang w:val="en-GB" w:eastAsia="da-DK"/>
              </w:rPr>
              <w:t>eDRX feature is optional for any UE (including RedCap and non-RedCap UEs).</w:t>
            </w:r>
          </w:p>
          <w:p w14:paraId="6C2BCE72" w14:textId="77777777" w:rsidR="007720A5" w:rsidRPr="003D4685" w:rsidRDefault="007720A5" w:rsidP="003D4685">
            <w:pPr>
              <w:rPr>
                <w:rFonts w:ascii="Arial" w:eastAsia="Times New Roman" w:hAnsi="Arial" w:cs="Arial"/>
                <w:szCs w:val="20"/>
                <w:lang w:val="en-GB" w:eastAsia="da-DK"/>
              </w:rPr>
            </w:pPr>
          </w:p>
          <w:p w14:paraId="757F4294" w14:textId="77777777" w:rsidR="003D4685" w:rsidRDefault="003D4685" w:rsidP="003D4685">
            <w:pPr>
              <w:rPr>
                <w:lang w:val="en-GB"/>
              </w:rPr>
            </w:pPr>
          </w:p>
        </w:tc>
      </w:tr>
    </w:tbl>
    <w:p w14:paraId="2E0DF382" w14:textId="686FE91F" w:rsidR="003D4685" w:rsidRDefault="003D4685" w:rsidP="003D4685">
      <w:pPr>
        <w:rPr>
          <w:lang w:val="en-GB"/>
        </w:rPr>
      </w:pPr>
    </w:p>
    <w:p w14:paraId="284F3D81" w14:textId="49605F96" w:rsidR="00995886" w:rsidRDefault="00761942" w:rsidP="003D4685">
      <w:pPr>
        <w:rPr>
          <w:lang w:val="en-GB"/>
        </w:rPr>
      </w:pPr>
      <w:r>
        <w:rPr>
          <w:lang w:val="en-GB"/>
        </w:rPr>
        <w:t xml:space="preserve">Since RAN2 has agreed on the </w:t>
      </w:r>
      <w:r w:rsidR="00D74538">
        <w:rPr>
          <w:lang w:val="en-GB"/>
        </w:rPr>
        <w:t>paging</w:t>
      </w:r>
      <w:r>
        <w:rPr>
          <w:lang w:val="en-GB"/>
        </w:rPr>
        <w:t xml:space="preserve"> monitoring for RRC_INACTIVE UE, i</w:t>
      </w:r>
      <w:r w:rsidR="00995886">
        <w:rPr>
          <w:lang w:val="en-GB"/>
        </w:rPr>
        <w:t xml:space="preserve">t </w:t>
      </w:r>
      <w:r w:rsidR="007720A5">
        <w:rPr>
          <w:lang w:val="en-GB"/>
        </w:rPr>
        <w:t>is reasonable</w:t>
      </w:r>
      <w:r w:rsidR="00995886">
        <w:rPr>
          <w:lang w:val="en-GB"/>
        </w:rPr>
        <w:t xml:space="preserve"> that the requirements in RAN4 follow the </w:t>
      </w:r>
      <w:r w:rsidR="00C17A1E">
        <w:rPr>
          <w:lang w:val="en-GB"/>
        </w:rPr>
        <w:t>duration</w:t>
      </w:r>
      <w:r w:rsidR="00995886">
        <w:rPr>
          <w:lang w:val="en-GB"/>
        </w:rPr>
        <w:t xml:space="preserve"> of T. </w:t>
      </w:r>
    </w:p>
    <w:p w14:paraId="4E3505A6" w14:textId="43A613B0" w:rsidR="00995886" w:rsidRPr="00995886" w:rsidRDefault="00995886" w:rsidP="00995886">
      <w:pPr>
        <w:pStyle w:val="RAN4proposal"/>
        <w:rPr>
          <w:lang w:val="en-GB" w:eastAsia="da-DK"/>
        </w:rPr>
      </w:pPr>
      <w:r w:rsidRPr="00087BB7">
        <w:rPr>
          <w:lang w:val="en-GB" w:eastAsia="da-DK"/>
        </w:rPr>
        <w:t>Inactive state requirements when idle eDRX is longer than 10.24s</w:t>
      </w:r>
      <w:r>
        <w:rPr>
          <w:lang w:val="en-GB" w:eastAsia="da-DK"/>
        </w:rPr>
        <w:t xml:space="preserve"> are based on the duration of T, summarized in: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6"/>
        <w:gridCol w:w="1370"/>
        <w:gridCol w:w="2095"/>
        <w:gridCol w:w="4446"/>
      </w:tblGrid>
      <w:tr w:rsidR="00016F76" w:rsidRPr="00087BB7" w14:paraId="7E4517A8"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ACD439"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IDLE eDRX[s]</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564B7A"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eDRX[s]</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9A46B6"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 or during CN PTW</w:t>
            </w:r>
          </w:p>
        </w:tc>
        <w:tc>
          <w:tcPr>
            <w:tcW w:w="6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978137"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w:t>
            </w:r>
          </w:p>
        </w:tc>
      </w:tr>
      <w:tr w:rsidR="00016F76" w:rsidRPr="00087BB7" w14:paraId="24CA6ADC"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A991D3"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4C26FD"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Not configured</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0A1DC"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During CN PTW</w:t>
            </w:r>
          </w:p>
        </w:tc>
        <w:tc>
          <w:tcPr>
            <w:tcW w:w="6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E48C5" w14:textId="2FC88E9E"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Shortest value of</w:t>
            </w:r>
            <w:r w:rsidR="004D5BB4">
              <w:rPr>
                <w:rFonts w:eastAsia="Times New Roman" w:cs="Times New Roman"/>
                <w:szCs w:val="20"/>
                <w:lang w:val="en-GB" w:eastAsia="da-DK"/>
              </w:rPr>
              <w:t xml:space="preserve"> </w:t>
            </w:r>
            <w:r w:rsidRPr="00087BB7">
              <w:rPr>
                <w:rFonts w:eastAsia="Times New Roman" w:cs="Times New Roman"/>
                <w:szCs w:val="20"/>
                <w:lang w:val="en-GB" w:eastAsia="da-DK"/>
              </w:rPr>
              <w:t>default paging cycle and UE specific DRX cycle if configured by upper layer</w:t>
            </w:r>
          </w:p>
        </w:tc>
      </w:tr>
      <w:tr w:rsidR="00016F76" w:rsidRPr="00761942" w14:paraId="58CA1CEE"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7243BB"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D0D30"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Not configured</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FC360"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Outside CN PTW</w:t>
            </w:r>
          </w:p>
        </w:tc>
        <w:tc>
          <w:tcPr>
            <w:tcW w:w="63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C72B05"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RAN paging cycle.</w:t>
            </w:r>
          </w:p>
        </w:tc>
      </w:tr>
      <w:tr w:rsidR="00016F76" w:rsidRPr="00761942" w14:paraId="18911528" w14:textId="77777777" w:rsidTr="008A6F1A">
        <w:tc>
          <w:tcPr>
            <w:tcW w:w="14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4C68D"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2053D"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2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8FABDB"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During CN PTW</w:t>
            </w:r>
          </w:p>
        </w:tc>
        <w:tc>
          <w:tcPr>
            <w:tcW w:w="6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0E154"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Shortest value of default paging cycle and UE specific DRX cycle if configured by upper layer</w:t>
            </w:r>
          </w:p>
        </w:tc>
      </w:tr>
      <w:tr w:rsidR="00016F76" w:rsidRPr="00087BB7" w14:paraId="4EE55B78" w14:textId="77777777" w:rsidTr="007720A5">
        <w:tc>
          <w:tcPr>
            <w:tcW w:w="143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0E55782"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59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95ABDA3"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293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92A04E2"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Outside CN PTW</w:t>
            </w:r>
          </w:p>
        </w:tc>
        <w:tc>
          <w:tcPr>
            <w:tcW w:w="639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0A36CF"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INACTIVE eDRX cycle</w:t>
            </w:r>
          </w:p>
        </w:tc>
      </w:tr>
    </w:tbl>
    <w:p w14:paraId="54ADA557" w14:textId="554E135D" w:rsidR="00016F76" w:rsidRDefault="00016F76" w:rsidP="003D4685">
      <w:pPr>
        <w:rPr>
          <w:lang w:val="en-GB"/>
        </w:rPr>
      </w:pPr>
    </w:p>
    <w:p w14:paraId="2F49BB1E" w14:textId="1A9834BF" w:rsidR="00995886" w:rsidRPr="00995886" w:rsidRDefault="00995886" w:rsidP="00D6510B">
      <w:pPr>
        <w:pStyle w:val="RAN4proposal"/>
        <w:rPr>
          <w:lang w:val="en-GB"/>
        </w:rPr>
      </w:pPr>
      <w:r w:rsidRPr="00995886">
        <w:rPr>
          <w:lang w:val="en-GB" w:eastAsia="da-DK"/>
        </w:rPr>
        <w:t xml:space="preserve">Inactive state requirements when idle eDRX is no longer than 10.24s are based on the duration of T, summarized in: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73"/>
        <w:gridCol w:w="1442"/>
        <w:gridCol w:w="2276"/>
        <w:gridCol w:w="3596"/>
      </w:tblGrid>
      <w:tr w:rsidR="00016F76" w:rsidRPr="00087BB7" w14:paraId="16022BCE" w14:textId="77777777" w:rsidTr="008A6F1A">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9C02B"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IDLE eDRX[s]</w:t>
            </w:r>
          </w:p>
        </w:tc>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E2443"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eDRX[s]</w:t>
            </w:r>
          </w:p>
        </w:tc>
        <w:tc>
          <w:tcPr>
            <w:tcW w:w="3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B1F4E3"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 or during CN PTW</w:t>
            </w:r>
          </w:p>
        </w:tc>
        <w:tc>
          <w:tcPr>
            <w:tcW w:w="49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C5414" w14:textId="77777777" w:rsidR="00016F76" w:rsidRPr="00087BB7" w:rsidRDefault="00016F76" w:rsidP="008A6F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w:t>
            </w:r>
          </w:p>
        </w:tc>
      </w:tr>
      <w:tr w:rsidR="00016F76" w:rsidRPr="00087BB7" w14:paraId="74B46C73" w14:textId="77777777" w:rsidTr="008A6F1A">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73B93"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56A04"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Not configured</w:t>
            </w:r>
          </w:p>
        </w:tc>
        <w:tc>
          <w:tcPr>
            <w:tcW w:w="3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10FFC9"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NA</w:t>
            </w:r>
          </w:p>
        </w:tc>
        <w:tc>
          <w:tcPr>
            <w:tcW w:w="50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17DD0" w14:textId="103BC7C9"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Shortest of RAN paging cycle</w:t>
            </w:r>
            <w:r w:rsidR="004D5BB4" w:rsidRPr="00761942">
              <w:rPr>
                <w:rFonts w:eastAsia="Times New Roman" w:cs="Times New Roman"/>
                <w:szCs w:val="20"/>
                <w:lang w:val="en-GB" w:eastAsia="da-DK"/>
              </w:rPr>
              <w:t xml:space="preserve">, </w:t>
            </w:r>
            <w:r w:rsidRPr="00761942">
              <w:rPr>
                <w:rFonts w:eastAsia="Times New Roman" w:cs="Times New Roman"/>
                <w:szCs w:val="20"/>
                <w:lang w:val="en-GB" w:eastAsia="da-DK"/>
              </w:rPr>
              <w:t>and IDLE eDRX cycle</w:t>
            </w:r>
          </w:p>
        </w:tc>
      </w:tr>
      <w:tr w:rsidR="00016F76" w:rsidRPr="00087BB7" w14:paraId="401902CB" w14:textId="77777777" w:rsidTr="008A6F1A">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17A74"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38596"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3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8B658"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NA</w:t>
            </w:r>
          </w:p>
        </w:tc>
        <w:tc>
          <w:tcPr>
            <w:tcW w:w="53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80231" w14:textId="77777777" w:rsidR="00016F76" w:rsidRPr="00761942" w:rsidRDefault="00016F76" w:rsidP="008A6F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The shortest of IDLE eDRX cycle and INACTIVE eDRX cycle.</w:t>
            </w:r>
          </w:p>
        </w:tc>
      </w:tr>
    </w:tbl>
    <w:p w14:paraId="627E2AF7" w14:textId="77777777" w:rsidR="00016F76" w:rsidRPr="003D4685" w:rsidRDefault="00016F76" w:rsidP="003D4685">
      <w:pPr>
        <w:rPr>
          <w:lang w:val="en-GB"/>
        </w:rPr>
      </w:pPr>
    </w:p>
    <w:p w14:paraId="1D15D7D6" w14:textId="613E4C9C" w:rsidR="00214FD5" w:rsidRPr="007A08AA" w:rsidRDefault="003D4685" w:rsidP="003D4685">
      <w:pPr>
        <w:pStyle w:val="RAN4H1"/>
      </w:pPr>
      <w:r w:rsidRPr="007A08AA">
        <w:lastRenderedPageBreak/>
        <w:t xml:space="preserve"> </w:t>
      </w:r>
      <w:r w:rsidR="00214FD5" w:rsidRPr="007A08AA">
        <w:t>Conclusions</w:t>
      </w:r>
    </w:p>
    <w:p w14:paraId="3A456FB2" w14:textId="53C9F13A" w:rsidR="00AA60FA" w:rsidRDefault="004926CB" w:rsidP="00BE5CC3">
      <w:r>
        <w:t xml:space="preserve"> </w:t>
      </w:r>
      <w:r w:rsidR="005A4CF9">
        <w:t xml:space="preserve">In this contribution, Nokia’s views on eDRX enhancements are </w:t>
      </w:r>
      <w:r w:rsidR="000C0113">
        <w:t>discussed</w:t>
      </w:r>
      <w:r w:rsidR="005A4CF9">
        <w:t xml:space="preserve">. The following observations and proposals </w:t>
      </w:r>
      <w:r w:rsidR="000C0113">
        <w:t>are presented:</w:t>
      </w:r>
    </w:p>
    <w:p w14:paraId="56D9F635" w14:textId="77777777" w:rsidR="000C0113" w:rsidRDefault="000C0113" w:rsidP="000C0113">
      <w:pPr>
        <w:pStyle w:val="RAN4Observation"/>
        <w:numPr>
          <w:ilvl w:val="0"/>
          <w:numId w:val="38"/>
        </w:numPr>
        <w:rPr>
          <w:lang w:eastAsia="zh-CN"/>
        </w:rPr>
      </w:pPr>
      <w:r>
        <w:rPr>
          <w:lang w:eastAsia="zh-CN"/>
        </w:rPr>
        <w:t>The combination of eDRX cycle = 20.48s and DRX cycle = 0.32s leads to same UE power saving as other DRX cycle configurations.</w:t>
      </w:r>
    </w:p>
    <w:p w14:paraId="0E9CCBFB" w14:textId="77777777" w:rsidR="000C0113" w:rsidRPr="000C0113" w:rsidRDefault="000C0113" w:rsidP="000C0113">
      <w:pPr>
        <w:pStyle w:val="RAN4proposal"/>
        <w:numPr>
          <w:ilvl w:val="0"/>
          <w:numId w:val="39"/>
        </w:numPr>
        <w:rPr>
          <w:lang w:eastAsia="zh-CN"/>
        </w:rPr>
      </w:pPr>
      <w:r w:rsidRPr="000C0113">
        <w:rPr>
          <w:lang w:eastAsia="zh-CN"/>
        </w:rPr>
        <w:t>Define serving cell measurement requirements for eDRX cycle = 20.48s and DRX cycle = 0.32s.</w:t>
      </w:r>
    </w:p>
    <w:p w14:paraId="2922B30D" w14:textId="77777777" w:rsidR="000C0113" w:rsidRPr="000C0113" w:rsidRDefault="000C0113" w:rsidP="000C0113">
      <w:pPr>
        <w:pStyle w:val="RAN4proposal"/>
        <w:numPr>
          <w:ilvl w:val="0"/>
          <w:numId w:val="39"/>
        </w:numPr>
        <w:rPr>
          <w:lang w:val="en-GB" w:eastAsia="zh-CN"/>
        </w:rPr>
      </w:pPr>
      <w:r w:rsidRPr="000C0113">
        <w:rPr>
          <w:lang w:val="en-GB" w:eastAsia="zh-CN"/>
        </w:rPr>
        <w:t>Define cell reselection requirements for eDRX cycle = 20.48s and DRX cycle = 0.32s.</w:t>
      </w:r>
    </w:p>
    <w:p w14:paraId="11DBF91C" w14:textId="77777777" w:rsidR="000C0113" w:rsidRPr="000C0113" w:rsidRDefault="000C0113" w:rsidP="000C0113">
      <w:pPr>
        <w:pStyle w:val="RAN4proposal"/>
        <w:numPr>
          <w:ilvl w:val="0"/>
          <w:numId w:val="39"/>
        </w:numPr>
        <w:rPr>
          <w:lang w:val="en-GB" w:eastAsia="da-DK"/>
        </w:rPr>
      </w:pPr>
      <w:r w:rsidRPr="000C0113">
        <w:rPr>
          <w:lang w:val="en-GB" w:eastAsia="da-DK"/>
        </w:rPr>
        <w:t xml:space="preserve">Inactive state requirements when idle eDRX is longer than 10.24s are based on the duration of T, summarized in: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16"/>
        <w:gridCol w:w="1370"/>
        <w:gridCol w:w="2095"/>
        <w:gridCol w:w="4446"/>
      </w:tblGrid>
      <w:tr w:rsidR="000C0113" w:rsidRPr="00087BB7" w14:paraId="4DC6DA65" w14:textId="77777777" w:rsidTr="000C0113">
        <w:tc>
          <w:tcPr>
            <w:tcW w:w="1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F0716D"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IDLE eDRX[s]</w:t>
            </w:r>
          </w:p>
        </w:tc>
        <w:tc>
          <w:tcPr>
            <w:tcW w:w="1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C3CAA"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eDRX[s]</w:t>
            </w:r>
          </w:p>
        </w:tc>
        <w:tc>
          <w:tcPr>
            <w:tcW w:w="20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F005FA"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 or during CN PTW</w:t>
            </w:r>
          </w:p>
        </w:tc>
        <w:tc>
          <w:tcPr>
            <w:tcW w:w="4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1EE7C"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w:t>
            </w:r>
          </w:p>
        </w:tc>
      </w:tr>
      <w:tr w:rsidR="000C0113" w:rsidRPr="00087BB7" w14:paraId="0BF1F842" w14:textId="77777777" w:rsidTr="000C0113">
        <w:tc>
          <w:tcPr>
            <w:tcW w:w="1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B53C3E"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4F16A"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Not configured</w:t>
            </w:r>
          </w:p>
        </w:tc>
        <w:tc>
          <w:tcPr>
            <w:tcW w:w="20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E2FA6"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During CN PTW</w:t>
            </w:r>
          </w:p>
        </w:tc>
        <w:tc>
          <w:tcPr>
            <w:tcW w:w="4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6B95C"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Shortest value of</w:t>
            </w:r>
            <w:r>
              <w:rPr>
                <w:rFonts w:eastAsia="Times New Roman" w:cs="Times New Roman"/>
                <w:szCs w:val="20"/>
                <w:lang w:val="en-GB" w:eastAsia="da-DK"/>
              </w:rPr>
              <w:t xml:space="preserve"> </w:t>
            </w:r>
            <w:r w:rsidRPr="00087BB7">
              <w:rPr>
                <w:rFonts w:eastAsia="Times New Roman" w:cs="Times New Roman"/>
                <w:szCs w:val="20"/>
                <w:lang w:val="en-GB" w:eastAsia="da-DK"/>
              </w:rPr>
              <w:t>default paging cycle and UE specific DRX cycle if configured by upper layer</w:t>
            </w:r>
          </w:p>
        </w:tc>
      </w:tr>
      <w:tr w:rsidR="000C0113" w:rsidRPr="00761942" w14:paraId="4A2DF815" w14:textId="77777777" w:rsidTr="000C0113">
        <w:tc>
          <w:tcPr>
            <w:tcW w:w="1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DBCCA"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06FCB"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Not configured</w:t>
            </w:r>
          </w:p>
        </w:tc>
        <w:tc>
          <w:tcPr>
            <w:tcW w:w="20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D937D"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Outside CN PTW</w:t>
            </w:r>
          </w:p>
        </w:tc>
        <w:tc>
          <w:tcPr>
            <w:tcW w:w="4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00CF6"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RAN paging cycle.</w:t>
            </w:r>
          </w:p>
        </w:tc>
      </w:tr>
      <w:tr w:rsidR="000C0113" w:rsidRPr="00761942" w14:paraId="028A0D05" w14:textId="77777777" w:rsidTr="000C0113">
        <w:tc>
          <w:tcPr>
            <w:tcW w:w="1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318BD"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3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290612"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20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DA9A3B"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During CN PTW</w:t>
            </w:r>
          </w:p>
        </w:tc>
        <w:tc>
          <w:tcPr>
            <w:tcW w:w="4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5BC464"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Shortest value of default paging cycle and UE specific DRX cycle if configured by upper layer</w:t>
            </w:r>
          </w:p>
        </w:tc>
      </w:tr>
      <w:tr w:rsidR="000C0113" w:rsidRPr="00087BB7" w14:paraId="5AAF1077" w14:textId="77777777" w:rsidTr="000C0113">
        <w:tc>
          <w:tcPr>
            <w:tcW w:w="121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5222062"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&gt;10.24</w:t>
            </w:r>
          </w:p>
        </w:tc>
        <w:tc>
          <w:tcPr>
            <w:tcW w:w="137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940FF7D"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2095"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D960524"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Outside CN PTW</w:t>
            </w:r>
          </w:p>
        </w:tc>
        <w:tc>
          <w:tcPr>
            <w:tcW w:w="4446"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FFD24"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INACTIVE eDRX cycle</w:t>
            </w:r>
          </w:p>
        </w:tc>
      </w:tr>
    </w:tbl>
    <w:p w14:paraId="679519B5" w14:textId="77777777" w:rsidR="000C0113" w:rsidRPr="00995886" w:rsidRDefault="000C0113" w:rsidP="000C0113">
      <w:pPr>
        <w:pStyle w:val="RAN4proposal"/>
        <w:rPr>
          <w:lang w:val="en-GB"/>
        </w:rPr>
      </w:pPr>
      <w:r w:rsidRPr="00995886">
        <w:rPr>
          <w:lang w:val="en-GB" w:eastAsia="da-DK"/>
        </w:rPr>
        <w:t xml:space="preserve">Inactive state requirements when idle eDRX is no longer than 10.24s are based on the duration of T, summarized in: </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73"/>
        <w:gridCol w:w="1442"/>
        <w:gridCol w:w="2276"/>
        <w:gridCol w:w="3596"/>
      </w:tblGrid>
      <w:tr w:rsidR="000C0113" w:rsidRPr="00087BB7" w14:paraId="621C328D" w14:textId="77777777" w:rsidTr="0013491A">
        <w:tc>
          <w:tcPr>
            <w:tcW w:w="1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08212D"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IDLE eDRX[s]</w:t>
            </w:r>
          </w:p>
        </w:tc>
        <w:tc>
          <w:tcPr>
            <w:tcW w:w="17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EDA5D1"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Inactive eDRX[s]</w:t>
            </w:r>
          </w:p>
        </w:tc>
        <w:tc>
          <w:tcPr>
            <w:tcW w:w="3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FF4766"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Outside CN PTW or during CN PTW</w:t>
            </w:r>
          </w:p>
        </w:tc>
        <w:tc>
          <w:tcPr>
            <w:tcW w:w="49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2F34B" w14:textId="77777777" w:rsidR="000C0113" w:rsidRPr="00087BB7" w:rsidRDefault="000C0113" w:rsidP="0013491A">
            <w:pPr>
              <w:spacing w:after="120" w:line="240" w:lineRule="auto"/>
              <w:rPr>
                <w:rFonts w:eastAsia="Times New Roman" w:cs="Times New Roman"/>
                <w:szCs w:val="20"/>
                <w:lang w:val="en-GB" w:eastAsia="da-DK"/>
              </w:rPr>
            </w:pPr>
            <w:r w:rsidRPr="00087BB7">
              <w:rPr>
                <w:rFonts w:eastAsia="Times New Roman" w:cs="Times New Roman"/>
                <w:szCs w:val="20"/>
                <w:lang w:val="en-GB" w:eastAsia="da-DK"/>
              </w:rPr>
              <w:t>T</w:t>
            </w:r>
          </w:p>
        </w:tc>
      </w:tr>
      <w:tr w:rsidR="000C0113" w:rsidRPr="00087BB7" w14:paraId="3F955EBC" w14:textId="77777777" w:rsidTr="0013491A">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CC2ECD"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C57AC"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Not configured</w:t>
            </w:r>
          </w:p>
        </w:tc>
        <w:tc>
          <w:tcPr>
            <w:tcW w:w="3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2C3C3A"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NA</w:t>
            </w:r>
          </w:p>
        </w:tc>
        <w:tc>
          <w:tcPr>
            <w:tcW w:w="50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F2F45"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Shortest of RAN paging cycle, and IDLE eDRX cycle</w:t>
            </w:r>
          </w:p>
        </w:tc>
      </w:tr>
      <w:tr w:rsidR="000C0113" w:rsidRPr="00087BB7" w14:paraId="19FE0993" w14:textId="77777777" w:rsidTr="0013491A">
        <w:tc>
          <w:tcPr>
            <w:tcW w:w="151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015A8"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17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BB32F"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≤10.24</w:t>
            </w:r>
          </w:p>
        </w:tc>
        <w:tc>
          <w:tcPr>
            <w:tcW w:w="33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5F427"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NA</w:t>
            </w:r>
          </w:p>
        </w:tc>
        <w:tc>
          <w:tcPr>
            <w:tcW w:w="53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F47375" w14:textId="77777777" w:rsidR="000C0113" w:rsidRPr="00761942" w:rsidRDefault="000C0113" w:rsidP="0013491A">
            <w:pPr>
              <w:spacing w:after="120" w:line="240" w:lineRule="auto"/>
              <w:rPr>
                <w:rFonts w:eastAsia="Times New Roman" w:cs="Times New Roman"/>
                <w:szCs w:val="20"/>
                <w:lang w:val="en-GB" w:eastAsia="da-DK"/>
              </w:rPr>
            </w:pPr>
            <w:r w:rsidRPr="00761942">
              <w:rPr>
                <w:rFonts w:eastAsia="Times New Roman" w:cs="Times New Roman"/>
                <w:szCs w:val="20"/>
                <w:lang w:val="en-GB" w:eastAsia="da-DK"/>
              </w:rPr>
              <w:t>The shortest of IDLE eDRX cycle and INACTIVE eDRX cycle.</w:t>
            </w:r>
          </w:p>
        </w:tc>
      </w:tr>
    </w:tbl>
    <w:p w14:paraId="6D73F87D" w14:textId="77777777" w:rsidR="000C0113" w:rsidRPr="000C0113" w:rsidRDefault="000C0113" w:rsidP="00BE5CC3"/>
    <w:p w14:paraId="0E87B0FA" w14:textId="0E6E51C2" w:rsidR="003B659E" w:rsidRPr="0095295C" w:rsidRDefault="003B659E" w:rsidP="0008612A">
      <w:pPr>
        <w:pStyle w:val="RAN4H1"/>
      </w:pPr>
      <w:r w:rsidRPr="0095295C">
        <w:t>References</w:t>
      </w:r>
    </w:p>
    <w:p w14:paraId="7B374492" w14:textId="6BD18064" w:rsidR="00BF15B1" w:rsidRPr="00BF15B1" w:rsidRDefault="00BF15B1" w:rsidP="00040E38">
      <w:pPr>
        <w:numPr>
          <w:ilvl w:val="0"/>
          <w:numId w:val="1"/>
        </w:numPr>
        <w:overflowPunct w:val="0"/>
        <w:autoSpaceDE w:val="0"/>
        <w:autoSpaceDN w:val="0"/>
        <w:adjustRightInd w:val="0"/>
        <w:spacing w:after="120" w:line="240" w:lineRule="auto"/>
        <w:jc w:val="both"/>
        <w:textAlignment w:val="baseline"/>
        <w:rPr>
          <w:lang w:val="en-GB"/>
        </w:rPr>
      </w:pPr>
      <w:bookmarkStart w:id="3" w:name="_Ref99539269"/>
      <w:bookmarkStart w:id="4" w:name="_Ref89678895"/>
      <w:r>
        <w:rPr>
          <w:lang w:eastAsia="zh-CN"/>
        </w:rPr>
        <w:t>R4-2205624, “Big CR for RedCap for TS 38.133”</w:t>
      </w:r>
      <w:bookmarkEnd w:id="3"/>
    </w:p>
    <w:p w14:paraId="5095E5F2" w14:textId="24E8349E" w:rsidR="003B325E" w:rsidRPr="00B2497F" w:rsidRDefault="00040E38" w:rsidP="00040E38">
      <w:pPr>
        <w:numPr>
          <w:ilvl w:val="0"/>
          <w:numId w:val="1"/>
        </w:numPr>
        <w:overflowPunct w:val="0"/>
        <w:autoSpaceDE w:val="0"/>
        <w:autoSpaceDN w:val="0"/>
        <w:adjustRightInd w:val="0"/>
        <w:spacing w:after="120" w:line="240" w:lineRule="auto"/>
        <w:jc w:val="both"/>
        <w:textAlignment w:val="baseline"/>
        <w:rPr>
          <w:lang w:val="en-GB"/>
        </w:rPr>
      </w:pPr>
      <w:r w:rsidRPr="00227AF4">
        <w:rPr>
          <w:lang w:val="en-GB"/>
        </w:rPr>
        <w:t>R4-2202672, “WF on eDRX and RRM measurement relaxations requirements for RedCap UE”</w:t>
      </w:r>
      <w:bookmarkEnd w:id="4"/>
      <w:r w:rsidRPr="00227AF4">
        <w:rPr>
          <w:lang w:val="en-GB"/>
        </w:rPr>
        <w:t>, vivo</w:t>
      </w:r>
    </w:p>
    <w:p w14:paraId="69A33EBC" w14:textId="5071B318" w:rsidR="00B2497F" w:rsidRPr="003B325E" w:rsidRDefault="00B2497F" w:rsidP="00040E38">
      <w:pPr>
        <w:numPr>
          <w:ilvl w:val="0"/>
          <w:numId w:val="1"/>
        </w:numPr>
        <w:overflowPunct w:val="0"/>
        <w:autoSpaceDE w:val="0"/>
        <w:autoSpaceDN w:val="0"/>
        <w:adjustRightInd w:val="0"/>
        <w:spacing w:after="120" w:line="240" w:lineRule="auto"/>
        <w:jc w:val="both"/>
        <w:textAlignment w:val="baseline"/>
        <w:rPr>
          <w:lang w:val="en-GB"/>
        </w:rPr>
      </w:pPr>
      <w:r>
        <w:rPr>
          <w:lang w:val="en-GB"/>
        </w:rPr>
        <w:t>TR 38.840, Study on User Equipment power saving in NR, Release 16</w:t>
      </w:r>
    </w:p>
    <w:sectPr w:rsidR="00B2497F" w:rsidRPr="003B32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A9DD1" w14:textId="77777777" w:rsidR="00177D44" w:rsidRDefault="00177D44" w:rsidP="00001C9B">
      <w:pPr>
        <w:spacing w:after="0" w:line="240" w:lineRule="auto"/>
      </w:pPr>
      <w:r>
        <w:separator/>
      </w:r>
    </w:p>
  </w:endnote>
  <w:endnote w:type="continuationSeparator" w:id="0">
    <w:p w14:paraId="04D418F6" w14:textId="77777777" w:rsidR="00177D44" w:rsidRDefault="00177D44" w:rsidP="00001C9B">
      <w:pPr>
        <w:spacing w:after="0" w:line="240" w:lineRule="auto"/>
      </w:pPr>
      <w:r>
        <w:continuationSeparator/>
      </w:r>
    </w:p>
  </w:endnote>
  <w:endnote w:type="continuationNotice" w:id="1">
    <w:p w14:paraId="1F90FADC" w14:textId="77777777" w:rsidR="00177D44" w:rsidRDefault="00177D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0281" w14:textId="77777777" w:rsidR="00177D44" w:rsidRDefault="00177D44" w:rsidP="00001C9B">
      <w:pPr>
        <w:spacing w:after="0" w:line="240" w:lineRule="auto"/>
      </w:pPr>
      <w:r>
        <w:separator/>
      </w:r>
    </w:p>
  </w:footnote>
  <w:footnote w:type="continuationSeparator" w:id="0">
    <w:p w14:paraId="683806D5" w14:textId="77777777" w:rsidR="00177D44" w:rsidRDefault="00177D44" w:rsidP="00001C9B">
      <w:pPr>
        <w:spacing w:after="0" w:line="240" w:lineRule="auto"/>
      </w:pPr>
      <w:r>
        <w:continuationSeparator/>
      </w:r>
    </w:p>
  </w:footnote>
  <w:footnote w:type="continuationNotice" w:id="1">
    <w:p w14:paraId="4E8DA8A3" w14:textId="77777777" w:rsidR="00177D44" w:rsidRDefault="00177D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2E8B"/>
    <w:multiLevelType w:val="hybridMultilevel"/>
    <w:tmpl w:val="8FF05D08"/>
    <w:lvl w:ilvl="0" w:tplc="04060001">
      <w:start w:val="1"/>
      <w:numFmt w:val="bullet"/>
      <w:lvlText w:val=""/>
      <w:lvlJc w:val="left"/>
      <w:pPr>
        <w:ind w:left="2988" w:hanging="360"/>
      </w:pPr>
      <w:rPr>
        <w:rFonts w:ascii="Symbol" w:hAnsi="Symbol" w:hint="default"/>
      </w:rPr>
    </w:lvl>
    <w:lvl w:ilvl="1" w:tplc="04060003" w:tentative="1">
      <w:start w:val="1"/>
      <w:numFmt w:val="bullet"/>
      <w:lvlText w:val="o"/>
      <w:lvlJc w:val="left"/>
      <w:pPr>
        <w:ind w:left="3708" w:hanging="360"/>
      </w:pPr>
      <w:rPr>
        <w:rFonts w:ascii="Courier New" w:hAnsi="Courier New" w:cs="Courier New" w:hint="default"/>
      </w:rPr>
    </w:lvl>
    <w:lvl w:ilvl="2" w:tplc="04060005" w:tentative="1">
      <w:start w:val="1"/>
      <w:numFmt w:val="bullet"/>
      <w:lvlText w:val=""/>
      <w:lvlJc w:val="left"/>
      <w:pPr>
        <w:ind w:left="4428" w:hanging="360"/>
      </w:pPr>
      <w:rPr>
        <w:rFonts w:ascii="Wingdings" w:hAnsi="Wingdings" w:hint="default"/>
      </w:rPr>
    </w:lvl>
    <w:lvl w:ilvl="3" w:tplc="04060001" w:tentative="1">
      <w:start w:val="1"/>
      <w:numFmt w:val="bullet"/>
      <w:lvlText w:val=""/>
      <w:lvlJc w:val="left"/>
      <w:pPr>
        <w:ind w:left="5148" w:hanging="360"/>
      </w:pPr>
      <w:rPr>
        <w:rFonts w:ascii="Symbol" w:hAnsi="Symbol" w:hint="default"/>
      </w:rPr>
    </w:lvl>
    <w:lvl w:ilvl="4" w:tplc="04060003" w:tentative="1">
      <w:start w:val="1"/>
      <w:numFmt w:val="bullet"/>
      <w:lvlText w:val="o"/>
      <w:lvlJc w:val="left"/>
      <w:pPr>
        <w:ind w:left="5868" w:hanging="360"/>
      </w:pPr>
      <w:rPr>
        <w:rFonts w:ascii="Courier New" w:hAnsi="Courier New" w:cs="Courier New" w:hint="default"/>
      </w:rPr>
    </w:lvl>
    <w:lvl w:ilvl="5" w:tplc="04060005" w:tentative="1">
      <w:start w:val="1"/>
      <w:numFmt w:val="bullet"/>
      <w:lvlText w:val=""/>
      <w:lvlJc w:val="left"/>
      <w:pPr>
        <w:ind w:left="6588" w:hanging="360"/>
      </w:pPr>
      <w:rPr>
        <w:rFonts w:ascii="Wingdings" w:hAnsi="Wingdings" w:hint="default"/>
      </w:rPr>
    </w:lvl>
    <w:lvl w:ilvl="6" w:tplc="04060001" w:tentative="1">
      <w:start w:val="1"/>
      <w:numFmt w:val="bullet"/>
      <w:lvlText w:val=""/>
      <w:lvlJc w:val="left"/>
      <w:pPr>
        <w:ind w:left="7308" w:hanging="360"/>
      </w:pPr>
      <w:rPr>
        <w:rFonts w:ascii="Symbol" w:hAnsi="Symbol" w:hint="default"/>
      </w:rPr>
    </w:lvl>
    <w:lvl w:ilvl="7" w:tplc="04060003" w:tentative="1">
      <w:start w:val="1"/>
      <w:numFmt w:val="bullet"/>
      <w:lvlText w:val="o"/>
      <w:lvlJc w:val="left"/>
      <w:pPr>
        <w:ind w:left="8028" w:hanging="360"/>
      </w:pPr>
      <w:rPr>
        <w:rFonts w:ascii="Courier New" w:hAnsi="Courier New" w:cs="Courier New" w:hint="default"/>
      </w:rPr>
    </w:lvl>
    <w:lvl w:ilvl="8" w:tplc="04060005" w:tentative="1">
      <w:start w:val="1"/>
      <w:numFmt w:val="bullet"/>
      <w:lvlText w:val=""/>
      <w:lvlJc w:val="left"/>
      <w:pPr>
        <w:ind w:left="8748"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476ED"/>
    <w:multiLevelType w:val="multilevel"/>
    <w:tmpl w:val="82C089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152200"/>
    <w:multiLevelType w:val="multilevel"/>
    <w:tmpl w:val="4060F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AD24F2"/>
    <w:multiLevelType w:val="multilevel"/>
    <w:tmpl w:val="2EEA1E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230D11"/>
    <w:multiLevelType w:val="multilevel"/>
    <w:tmpl w:val="2ED89816"/>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 w15:restartNumberingAfterBreak="0">
    <w:nsid w:val="24840F8B"/>
    <w:multiLevelType w:val="multilevel"/>
    <w:tmpl w:val="F7BA5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702ACA"/>
    <w:multiLevelType w:val="multilevel"/>
    <w:tmpl w:val="86B6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AB6D64"/>
    <w:multiLevelType w:val="multilevel"/>
    <w:tmpl w:val="EBC6C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BB083A"/>
    <w:multiLevelType w:val="multilevel"/>
    <w:tmpl w:val="829E4D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061882"/>
    <w:multiLevelType w:val="hybridMultilevel"/>
    <w:tmpl w:val="C766181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0783AE1"/>
    <w:multiLevelType w:val="multilevel"/>
    <w:tmpl w:val="2B76A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F6711F"/>
    <w:multiLevelType w:val="multilevel"/>
    <w:tmpl w:val="1F6E29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0D27A1"/>
    <w:multiLevelType w:val="multilevel"/>
    <w:tmpl w:val="F020B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ABB494CA"/>
    <w:lvl w:ilvl="0" w:tplc="7A72CFCE">
      <w:start w:val="1"/>
      <w:numFmt w:val="decimal"/>
      <w:pStyle w:val="RAN4Observation"/>
      <w:suff w:val="space"/>
      <w:lvlText w:val="Observation %1:"/>
      <w:lvlJc w:val="left"/>
      <w:pPr>
        <w:ind w:left="0" w:firstLine="0"/>
      </w:pPr>
      <w:rPr>
        <w:rFonts w:ascii="Times New Roman" w:hAnsi="Times New Roman" w:hint="default"/>
        <w:b/>
        <w:i w:val="0"/>
        <w:color w:val="auto"/>
        <w:sz w:val="20"/>
        <w:lang w:val="en-US"/>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D6E3167"/>
    <w:multiLevelType w:val="hybridMultilevel"/>
    <w:tmpl w:val="7366A944"/>
    <w:lvl w:ilvl="0" w:tplc="0DC0D3BE">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2774B"/>
    <w:multiLevelType w:val="multilevel"/>
    <w:tmpl w:val="88ACC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F6069E"/>
    <w:multiLevelType w:val="multilevel"/>
    <w:tmpl w:val="4060FB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5687342B"/>
    <w:multiLevelType w:val="multilevel"/>
    <w:tmpl w:val="0108EC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396062"/>
    <w:multiLevelType w:val="multilevel"/>
    <w:tmpl w:val="DC4A9E26"/>
    <w:lvl w:ilvl="0">
      <w:start w:val="5"/>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7968B5"/>
    <w:multiLevelType w:val="multilevel"/>
    <w:tmpl w:val="49FCA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5C217B"/>
    <w:multiLevelType w:val="multilevel"/>
    <w:tmpl w:val="CBC62AB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7732E3"/>
    <w:multiLevelType w:val="multilevel"/>
    <w:tmpl w:val="CBE6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408220B"/>
    <w:multiLevelType w:val="hybridMultilevel"/>
    <w:tmpl w:val="7C589A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7A6D07CD"/>
    <w:multiLevelType w:val="multilevel"/>
    <w:tmpl w:val="F3F6B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D2138C1"/>
    <w:multiLevelType w:val="multilevel"/>
    <w:tmpl w:val="2380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0B119A"/>
    <w:multiLevelType w:val="multilevel"/>
    <w:tmpl w:val="FEC6A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6"/>
  </w:num>
  <w:num w:numId="3">
    <w:abstractNumId w:val="15"/>
  </w:num>
  <w:num w:numId="4">
    <w:abstractNumId w:val="26"/>
  </w:num>
  <w:num w:numId="5">
    <w:abstractNumId w:val="17"/>
  </w:num>
  <w:num w:numId="6">
    <w:abstractNumId w:val="24"/>
  </w:num>
  <w:num w:numId="7">
    <w:abstractNumId w:val="14"/>
  </w:num>
  <w:num w:numId="8">
    <w:abstractNumId w:val="4"/>
  </w:num>
  <w:num w:numId="9">
    <w:abstractNumId w:val="5"/>
  </w:num>
  <w:num w:numId="10">
    <w:abstractNumId w:val="22"/>
  </w:num>
  <w:num w:numId="11">
    <w:abstractNumId w:val="2"/>
  </w:num>
  <w:num w:numId="12">
    <w:abstractNumId w:val="27"/>
  </w:num>
  <w:num w:numId="13">
    <w:abstractNumId w:val="25"/>
  </w:num>
  <w:num w:numId="14">
    <w:abstractNumId w:val="12"/>
  </w:num>
  <w:num w:numId="15">
    <w:abstractNumId w:val="20"/>
  </w:num>
  <w:num w:numId="16">
    <w:abstractNumId w:val="9"/>
  </w:num>
  <w:num w:numId="17">
    <w:abstractNumId w:val="6"/>
  </w:num>
  <w:num w:numId="18">
    <w:abstractNumId w:val="13"/>
  </w:num>
  <w:num w:numId="19">
    <w:abstractNumId w:val="29"/>
  </w:num>
  <w:num w:numId="20">
    <w:abstractNumId w:val="7"/>
  </w:num>
  <w:num w:numId="21">
    <w:abstractNumId w:val="18"/>
  </w:num>
  <w:num w:numId="22">
    <w:abstractNumId w:val="0"/>
  </w:num>
  <w:num w:numId="23">
    <w:abstractNumId w:val="23"/>
    <w:lvlOverride w:ilvl="0">
      <w:startOverride w:val="1"/>
    </w:lvlOverride>
  </w:num>
  <w:num w:numId="24">
    <w:abstractNumId w:val="10"/>
  </w:num>
  <w:num w:numId="25">
    <w:abstractNumId w:val="15"/>
    <w:lvlOverride w:ilvl="0">
      <w:startOverride w:val="1"/>
    </w:lvlOverride>
  </w:num>
  <w:num w:numId="26">
    <w:abstractNumId w:val="15"/>
    <w:lvlOverride w:ilvl="0">
      <w:startOverride w:val="1"/>
    </w:lvlOverride>
  </w:num>
  <w:num w:numId="27">
    <w:abstractNumId w:val="14"/>
    <w:lvlOverride w:ilvl="0">
      <w:startOverride w:val="1"/>
    </w:lvlOverride>
  </w:num>
  <w:num w:numId="28">
    <w:abstractNumId w:val="15"/>
    <w:lvlOverride w:ilvl="0">
      <w:startOverride w:val="1"/>
    </w:lvlOverride>
  </w:num>
  <w:num w:numId="29">
    <w:abstractNumId w:val="14"/>
    <w:lvlOverride w:ilvl="0">
      <w:startOverride w:val="1"/>
    </w:lvlOverride>
  </w:num>
  <w:num w:numId="30">
    <w:abstractNumId w:val="30"/>
  </w:num>
  <w:num w:numId="31">
    <w:abstractNumId w:val="28"/>
  </w:num>
  <w:num w:numId="32">
    <w:abstractNumId w:val="8"/>
  </w:num>
  <w:num w:numId="33">
    <w:abstractNumId w:val="11"/>
  </w:num>
  <w:num w:numId="34">
    <w:abstractNumId w:val="14"/>
    <w:lvlOverride w:ilvl="0">
      <w:startOverride w:val="1"/>
    </w:lvlOverride>
  </w:num>
  <w:num w:numId="35">
    <w:abstractNumId w:val="3"/>
    <w:lvlOverride w:ilvl="0">
      <w:startOverride w:val="1"/>
    </w:lvlOverride>
  </w:num>
  <w:num w:numId="36">
    <w:abstractNumId w:val="19"/>
    <w:lvlOverride w:ilvl="0">
      <w:startOverride w:val="1"/>
    </w:lvlOverride>
  </w:num>
  <w:num w:numId="37">
    <w:abstractNumId w:val="21"/>
  </w:num>
  <w:num w:numId="38">
    <w:abstractNumId w:val="14"/>
    <w:lvlOverride w:ilvl="0">
      <w:startOverride w:val="1"/>
    </w:lvlOverride>
  </w:num>
  <w:num w:numId="39">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A57"/>
    <w:rsid w:val="00001C9B"/>
    <w:rsid w:val="000040B1"/>
    <w:rsid w:val="000043BB"/>
    <w:rsid w:val="00005B08"/>
    <w:rsid w:val="000116DD"/>
    <w:rsid w:val="00014861"/>
    <w:rsid w:val="00016F76"/>
    <w:rsid w:val="00017E8B"/>
    <w:rsid w:val="00020FCB"/>
    <w:rsid w:val="00033D4E"/>
    <w:rsid w:val="000355AE"/>
    <w:rsid w:val="00035E84"/>
    <w:rsid w:val="00040E38"/>
    <w:rsid w:val="00043285"/>
    <w:rsid w:val="000434F8"/>
    <w:rsid w:val="000439E0"/>
    <w:rsid w:val="000476B6"/>
    <w:rsid w:val="00051F48"/>
    <w:rsid w:val="0005269E"/>
    <w:rsid w:val="000574D6"/>
    <w:rsid w:val="000579B6"/>
    <w:rsid w:val="0006039C"/>
    <w:rsid w:val="000604DA"/>
    <w:rsid w:val="00062F6B"/>
    <w:rsid w:val="0006590F"/>
    <w:rsid w:val="00073236"/>
    <w:rsid w:val="0007385D"/>
    <w:rsid w:val="00074B20"/>
    <w:rsid w:val="0007547A"/>
    <w:rsid w:val="00080395"/>
    <w:rsid w:val="00080AE4"/>
    <w:rsid w:val="00081FDA"/>
    <w:rsid w:val="00082E63"/>
    <w:rsid w:val="000852E4"/>
    <w:rsid w:val="0008612A"/>
    <w:rsid w:val="00086C77"/>
    <w:rsid w:val="00087BB7"/>
    <w:rsid w:val="00092144"/>
    <w:rsid w:val="0009246C"/>
    <w:rsid w:val="000926E7"/>
    <w:rsid w:val="000A20DE"/>
    <w:rsid w:val="000A5622"/>
    <w:rsid w:val="000A56D4"/>
    <w:rsid w:val="000A5729"/>
    <w:rsid w:val="000B0056"/>
    <w:rsid w:val="000B053E"/>
    <w:rsid w:val="000B0A49"/>
    <w:rsid w:val="000C0113"/>
    <w:rsid w:val="000C44AF"/>
    <w:rsid w:val="000C56C0"/>
    <w:rsid w:val="000D2A23"/>
    <w:rsid w:val="000D2D87"/>
    <w:rsid w:val="000D491E"/>
    <w:rsid w:val="000D5C4C"/>
    <w:rsid w:val="000E23A6"/>
    <w:rsid w:val="000E2403"/>
    <w:rsid w:val="000E5003"/>
    <w:rsid w:val="000E503F"/>
    <w:rsid w:val="000F01D4"/>
    <w:rsid w:val="000F09AB"/>
    <w:rsid w:val="000F2A39"/>
    <w:rsid w:val="000F360C"/>
    <w:rsid w:val="000F4C1A"/>
    <w:rsid w:val="000F6E70"/>
    <w:rsid w:val="000F7435"/>
    <w:rsid w:val="00102AA6"/>
    <w:rsid w:val="00104936"/>
    <w:rsid w:val="001057E8"/>
    <w:rsid w:val="00106F99"/>
    <w:rsid w:val="001108FE"/>
    <w:rsid w:val="001109F8"/>
    <w:rsid w:val="001149DB"/>
    <w:rsid w:val="00117796"/>
    <w:rsid w:val="001209AC"/>
    <w:rsid w:val="00123C58"/>
    <w:rsid w:val="0012444B"/>
    <w:rsid w:val="00124459"/>
    <w:rsid w:val="00126279"/>
    <w:rsid w:val="00130290"/>
    <w:rsid w:val="00130600"/>
    <w:rsid w:val="00134BF5"/>
    <w:rsid w:val="0013750D"/>
    <w:rsid w:val="001402A6"/>
    <w:rsid w:val="00140330"/>
    <w:rsid w:val="00142412"/>
    <w:rsid w:val="00143D72"/>
    <w:rsid w:val="00143E75"/>
    <w:rsid w:val="001444B5"/>
    <w:rsid w:val="00151A8D"/>
    <w:rsid w:val="0015200C"/>
    <w:rsid w:val="0015341D"/>
    <w:rsid w:val="00155742"/>
    <w:rsid w:val="00161AC3"/>
    <w:rsid w:val="001622C4"/>
    <w:rsid w:val="00162FA0"/>
    <w:rsid w:val="00165EE7"/>
    <w:rsid w:val="001679DE"/>
    <w:rsid w:val="001745F8"/>
    <w:rsid w:val="00174AD3"/>
    <w:rsid w:val="0017501D"/>
    <w:rsid w:val="001754A1"/>
    <w:rsid w:val="0017611C"/>
    <w:rsid w:val="0017671A"/>
    <w:rsid w:val="00177D44"/>
    <w:rsid w:val="001802FD"/>
    <w:rsid w:val="001838CF"/>
    <w:rsid w:val="0019220B"/>
    <w:rsid w:val="00192A0F"/>
    <w:rsid w:val="00195783"/>
    <w:rsid w:val="001958A2"/>
    <w:rsid w:val="00195E2B"/>
    <w:rsid w:val="001961B9"/>
    <w:rsid w:val="001A5BCF"/>
    <w:rsid w:val="001A72C1"/>
    <w:rsid w:val="001B116F"/>
    <w:rsid w:val="001B2870"/>
    <w:rsid w:val="001B447A"/>
    <w:rsid w:val="001B7EB8"/>
    <w:rsid w:val="001D1CBD"/>
    <w:rsid w:val="001D453B"/>
    <w:rsid w:val="001D54CB"/>
    <w:rsid w:val="001D6CBA"/>
    <w:rsid w:val="001E30F6"/>
    <w:rsid w:val="001E3EB3"/>
    <w:rsid w:val="001E659F"/>
    <w:rsid w:val="001E6EA2"/>
    <w:rsid w:val="001F364B"/>
    <w:rsid w:val="001F6216"/>
    <w:rsid w:val="001F6C25"/>
    <w:rsid w:val="001F6E1C"/>
    <w:rsid w:val="00200081"/>
    <w:rsid w:val="00202988"/>
    <w:rsid w:val="00202C34"/>
    <w:rsid w:val="00202CDC"/>
    <w:rsid w:val="00203B92"/>
    <w:rsid w:val="0020521B"/>
    <w:rsid w:val="00206975"/>
    <w:rsid w:val="0021156E"/>
    <w:rsid w:val="00212217"/>
    <w:rsid w:val="00212B72"/>
    <w:rsid w:val="002131AA"/>
    <w:rsid w:val="002149F0"/>
    <w:rsid w:val="00214E5E"/>
    <w:rsid w:val="00214FD5"/>
    <w:rsid w:val="0022089C"/>
    <w:rsid w:val="002255AA"/>
    <w:rsid w:val="002267F3"/>
    <w:rsid w:val="00226E57"/>
    <w:rsid w:val="00227AF4"/>
    <w:rsid w:val="00230628"/>
    <w:rsid w:val="002325A1"/>
    <w:rsid w:val="002353E5"/>
    <w:rsid w:val="00235F5C"/>
    <w:rsid w:val="00236D6F"/>
    <w:rsid w:val="00236D78"/>
    <w:rsid w:val="00237A2C"/>
    <w:rsid w:val="00243066"/>
    <w:rsid w:val="00243210"/>
    <w:rsid w:val="0024481F"/>
    <w:rsid w:val="00245F37"/>
    <w:rsid w:val="0024625B"/>
    <w:rsid w:val="00253DF6"/>
    <w:rsid w:val="00255666"/>
    <w:rsid w:val="00255E2C"/>
    <w:rsid w:val="002562FC"/>
    <w:rsid w:val="00264644"/>
    <w:rsid w:val="002650B5"/>
    <w:rsid w:val="00265102"/>
    <w:rsid w:val="00265843"/>
    <w:rsid w:val="00273443"/>
    <w:rsid w:val="00280503"/>
    <w:rsid w:val="002806B3"/>
    <w:rsid w:val="002811AC"/>
    <w:rsid w:val="00281F12"/>
    <w:rsid w:val="00282637"/>
    <w:rsid w:val="00283EBB"/>
    <w:rsid w:val="00284157"/>
    <w:rsid w:val="002853E1"/>
    <w:rsid w:val="002857B2"/>
    <w:rsid w:val="002870BB"/>
    <w:rsid w:val="00287B2D"/>
    <w:rsid w:val="0029413C"/>
    <w:rsid w:val="00294438"/>
    <w:rsid w:val="00295D0B"/>
    <w:rsid w:val="00297658"/>
    <w:rsid w:val="002A1405"/>
    <w:rsid w:val="002A1DF9"/>
    <w:rsid w:val="002A384C"/>
    <w:rsid w:val="002A4B7B"/>
    <w:rsid w:val="002A6280"/>
    <w:rsid w:val="002A79DF"/>
    <w:rsid w:val="002B0E9C"/>
    <w:rsid w:val="002B26BF"/>
    <w:rsid w:val="002B3044"/>
    <w:rsid w:val="002B4922"/>
    <w:rsid w:val="002B6964"/>
    <w:rsid w:val="002C10F3"/>
    <w:rsid w:val="002C127E"/>
    <w:rsid w:val="002C136A"/>
    <w:rsid w:val="002C23B6"/>
    <w:rsid w:val="002C2D19"/>
    <w:rsid w:val="002C4FA4"/>
    <w:rsid w:val="002C54F8"/>
    <w:rsid w:val="002D0850"/>
    <w:rsid w:val="002D0A10"/>
    <w:rsid w:val="002D10FA"/>
    <w:rsid w:val="002D2A2F"/>
    <w:rsid w:val="002D44E3"/>
    <w:rsid w:val="002D4C55"/>
    <w:rsid w:val="002E01B2"/>
    <w:rsid w:val="002E3060"/>
    <w:rsid w:val="002E5964"/>
    <w:rsid w:val="002F1542"/>
    <w:rsid w:val="002F7A49"/>
    <w:rsid w:val="00302355"/>
    <w:rsid w:val="003052C9"/>
    <w:rsid w:val="00306502"/>
    <w:rsid w:val="003154E6"/>
    <w:rsid w:val="0032066B"/>
    <w:rsid w:val="00333C93"/>
    <w:rsid w:val="00334C4B"/>
    <w:rsid w:val="00335D50"/>
    <w:rsid w:val="003365BF"/>
    <w:rsid w:val="00336CAE"/>
    <w:rsid w:val="00343C51"/>
    <w:rsid w:val="003441AA"/>
    <w:rsid w:val="0034440A"/>
    <w:rsid w:val="0034546C"/>
    <w:rsid w:val="00351119"/>
    <w:rsid w:val="00357F35"/>
    <w:rsid w:val="00360BDD"/>
    <w:rsid w:val="00362C68"/>
    <w:rsid w:val="00363644"/>
    <w:rsid w:val="003659D2"/>
    <w:rsid w:val="00366991"/>
    <w:rsid w:val="00366FA9"/>
    <w:rsid w:val="00376381"/>
    <w:rsid w:val="0037654E"/>
    <w:rsid w:val="00376F54"/>
    <w:rsid w:val="003776D8"/>
    <w:rsid w:val="0038046E"/>
    <w:rsid w:val="0038158B"/>
    <w:rsid w:val="0038262A"/>
    <w:rsid w:val="00384776"/>
    <w:rsid w:val="00386F0A"/>
    <w:rsid w:val="00386F6B"/>
    <w:rsid w:val="00386FA7"/>
    <w:rsid w:val="00390247"/>
    <w:rsid w:val="00391337"/>
    <w:rsid w:val="00391A23"/>
    <w:rsid w:val="003A2CBA"/>
    <w:rsid w:val="003B03F3"/>
    <w:rsid w:val="003B1432"/>
    <w:rsid w:val="003B2E8E"/>
    <w:rsid w:val="003B325E"/>
    <w:rsid w:val="003B659E"/>
    <w:rsid w:val="003B7ACC"/>
    <w:rsid w:val="003C174C"/>
    <w:rsid w:val="003C23D1"/>
    <w:rsid w:val="003C2C76"/>
    <w:rsid w:val="003C3DA5"/>
    <w:rsid w:val="003C46D1"/>
    <w:rsid w:val="003C6693"/>
    <w:rsid w:val="003C6881"/>
    <w:rsid w:val="003C7D4F"/>
    <w:rsid w:val="003D2368"/>
    <w:rsid w:val="003D34E3"/>
    <w:rsid w:val="003D4685"/>
    <w:rsid w:val="003D6875"/>
    <w:rsid w:val="003D6D2D"/>
    <w:rsid w:val="003E0127"/>
    <w:rsid w:val="003E046E"/>
    <w:rsid w:val="003E3825"/>
    <w:rsid w:val="003E508A"/>
    <w:rsid w:val="003E5526"/>
    <w:rsid w:val="003E5970"/>
    <w:rsid w:val="003E5C9D"/>
    <w:rsid w:val="003F4960"/>
    <w:rsid w:val="003F5961"/>
    <w:rsid w:val="003F7848"/>
    <w:rsid w:val="003F7E7B"/>
    <w:rsid w:val="004001CA"/>
    <w:rsid w:val="004030F8"/>
    <w:rsid w:val="00404AE4"/>
    <w:rsid w:val="00413472"/>
    <w:rsid w:val="00415D6B"/>
    <w:rsid w:val="00422452"/>
    <w:rsid w:val="00423A76"/>
    <w:rsid w:val="0043238D"/>
    <w:rsid w:val="00435132"/>
    <w:rsid w:val="004367F1"/>
    <w:rsid w:val="0043750A"/>
    <w:rsid w:val="00444D2B"/>
    <w:rsid w:val="00447966"/>
    <w:rsid w:val="004534AC"/>
    <w:rsid w:val="004573AB"/>
    <w:rsid w:val="00460827"/>
    <w:rsid w:val="00460A9F"/>
    <w:rsid w:val="0046167E"/>
    <w:rsid w:val="004624CD"/>
    <w:rsid w:val="00462D80"/>
    <w:rsid w:val="00463563"/>
    <w:rsid w:val="00473F14"/>
    <w:rsid w:val="00475300"/>
    <w:rsid w:val="004765AE"/>
    <w:rsid w:val="004826F3"/>
    <w:rsid w:val="0048457F"/>
    <w:rsid w:val="00485917"/>
    <w:rsid w:val="0048668D"/>
    <w:rsid w:val="00490412"/>
    <w:rsid w:val="004926CB"/>
    <w:rsid w:val="00493619"/>
    <w:rsid w:val="00496B4A"/>
    <w:rsid w:val="0049704C"/>
    <w:rsid w:val="00497724"/>
    <w:rsid w:val="004A1821"/>
    <w:rsid w:val="004A1E51"/>
    <w:rsid w:val="004A3F24"/>
    <w:rsid w:val="004A40D6"/>
    <w:rsid w:val="004A50CE"/>
    <w:rsid w:val="004B1C70"/>
    <w:rsid w:val="004B3327"/>
    <w:rsid w:val="004B4607"/>
    <w:rsid w:val="004B4DEA"/>
    <w:rsid w:val="004B7E0A"/>
    <w:rsid w:val="004C1A5B"/>
    <w:rsid w:val="004C248A"/>
    <w:rsid w:val="004C2FE1"/>
    <w:rsid w:val="004D025F"/>
    <w:rsid w:val="004D1556"/>
    <w:rsid w:val="004D2FC5"/>
    <w:rsid w:val="004D3E07"/>
    <w:rsid w:val="004D41F3"/>
    <w:rsid w:val="004D55CE"/>
    <w:rsid w:val="004D5BB4"/>
    <w:rsid w:val="004D769A"/>
    <w:rsid w:val="004E20FA"/>
    <w:rsid w:val="004E44ED"/>
    <w:rsid w:val="004E555B"/>
    <w:rsid w:val="004E5E66"/>
    <w:rsid w:val="004F3B01"/>
    <w:rsid w:val="004F6EBA"/>
    <w:rsid w:val="004F72D7"/>
    <w:rsid w:val="00503210"/>
    <w:rsid w:val="00503282"/>
    <w:rsid w:val="005032C3"/>
    <w:rsid w:val="00503B4D"/>
    <w:rsid w:val="00504EE9"/>
    <w:rsid w:val="0050638A"/>
    <w:rsid w:val="00510FB5"/>
    <w:rsid w:val="00511D00"/>
    <w:rsid w:val="005150F7"/>
    <w:rsid w:val="00522F06"/>
    <w:rsid w:val="0053065D"/>
    <w:rsid w:val="005318D1"/>
    <w:rsid w:val="005343AA"/>
    <w:rsid w:val="00541D36"/>
    <w:rsid w:val="005440B8"/>
    <w:rsid w:val="0054442C"/>
    <w:rsid w:val="005479EB"/>
    <w:rsid w:val="00550285"/>
    <w:rsid w:val="005505C2"/>
    <w:rsid w:val="00553848"/>
    <w:rsid w:val="00554227"/>
    <w:rsid w:val="00556D62"/>
    <w:rsid w:val="005604D5"/>
    <w:rsid w:val="0056348E"/>
    <w:rsid w:val="00563E8A"/>
    <w:rsid w:val="00567303"/>
    <w:rsid w:val="00571CF8"/>
    <w:rsid w:val="0057600C"/>
    <w:rsid w:val="005768F8"/>
    <w:rsid w:val="00581548"/>
    <w:rsid w:val="005817F7"/>
    <w:rsid w:val="005836F8"/>
    <w:rsid w:val="005847F4"/>
    <w:rsid w:val="00585575"/>
    <w:rsid w:val="00586299"/>
    <w:rsid w:val="00587208"/>
    <w:rsid w:val="00587948"/>
    <w:rsid w:val="00592284"/>
    <w:rsid w:val="005922E2"/>
    <w:rsid w:val="0059230A"/>
    <w:rsid w:val="005937A3"/>
    <w:rsid w:val="005A01EA"/>
    <w:rsid w:val="005A138E"/>
    <w:rsid w:val="005A1915"/>
    <w:rsid w:val="005A1E00"/>
    <w:rsid w:val="005A2904"/>
    <w:rsid w:val="005A4058"/>
    <w:rsid w:val="005A456D"/>
    <w:rsid w:val="005A4CF9"/>
    <w:rsid w:val="005A4FE7"/>
    <w:rsid w:val="005A5295"/>
    <w:rsid w:val="005A6A32"/>
    <w:rsid w:val="005A71E8"/>
    <w:rsid w:val="005B3EFE"/>
    <w:rsid w:val="005B77E9"/>
    <w:rsid w:val="005C12DF"/>
    <w:rsid w:val="005C60C7"/>
    <w:rsid w:val="005D10B4"/>
    <w:rsid w:val="005D14CA"/>
    <w:rsid w:val="005D2622"/>
    <w:rsid w:val="005D3CA8"/>
    <w:rsid w:val="005D44A3"/>
    <w:rsid w:val="005D5522"/>
    <w:rsid w:val="005D659D"/>
    <w:rsid w:val="005D7914"/>
    <w:rsid w:val="005E069A"/>
    <w:rsid w:val="005E1413"/>
    <w:rsid w:val="005E23C5"/>
    <w:rsid w:val="005E2752"/>
    <w:rsid w:val="005E3768"/>
    <w:rsid w:val="005E3838"/>
    <w:rsid w:val="005E5408"/>
    <w:rsid w:val="005E61A8"/>
    <w:rsid w:val="005E6DCC"/>
    <w:rsid w:val="005E7767"/>
    <w:rsid w:val="005E7A8F"/>
    <w:rsid w:val="005F289B"/>
    <w:rsid w:val="005F2D31"/>
    <w:rsid w:val="005F2DE7"/>
    <w:rsid w:val="005F6419"/>
    <w:rsid w:val="005F7695"/>
    <w:rsid w:val="00601C25"/>
    <w:rsid w:val="006023FC"/>
    <w:rsid w:val="00602EFA"/>
    <w:rsid w:val="00603F7B"/>
    <w:rsid w:val="006055D6"/>
    <w:rsid w:val="00606980"/>
    <w:rsid w:val="0061145C"/>
    <w:rsid w:val="00612829"/>
    <w:rsid w:val="00617400"/>
    <w:rsid w:val="00617DA3"/>
    <w:rsid w:val="00625942"/>
    <w:rsid w:val="00632841"/>
    <w:rsid w:val="0063449F"/>
    <w:rsid w:val="0064111A"/>
    <w:rsid w:val="00657320"/>
    <w:rsid w:val="00661412"/>
    <w:rsid w:val="006637DF"/>
    <w:rsid w:val="00664950"/>
    <w:rsid w:val="0066617A"/>
    <w:rsid w:val="00667387"/>
    <w:rsid w:val="006675BA"/>
    <w:rsid w:val="006677D1"/>
    <w:rsid w:val="00683220"/>
    <w:rsid w:val="00683CB8"/>
    <w:rsid w:val="0068640E"/>
    <w:rsid w:val="00687FA0"/>
    <w:rsid w:val="0069568E"/>
    <w:rsid w:val="00696989"/>
    <w:rsid w:val="006A29E3"/>
    <w:rsid w:val="006A7876"/>
    <w:rsid w:val="006A7D79"/>
    <w:rsid w:val="006B7010"/>
    <w:rsid w:val="006C0384"/>
    <w:rsid w:val="006C3421"/>
    <w:rsid w:val="006C3FC0"/>
    <w:rsid w:val="006C4790"/>
    <w:rsid w:val="006C4CD2"/>
    <w:rsid w:val="006C645C"/>
    <w:rsid w:val="006C7C97"/>
    <w:rsid w:val="006D241A"/>
    <w:rsid w:val="006D260F"/>
    <w:rsid w:val="006D285E"/>
    <w:rsid w:val="006D6F35"/>
    <w:rsid w:val="006D70D8"/>
    <w:rsid w:val="006D7B45"/>
    <w:rsid w:val="006E21E8"/>
    <w:rsid w:val="006E3B4A"/>
    <w:rsid w:val="006E5A4C"/>
    <w:rsid w:val="006E7AF0"/>
    <w:rsid w:val="006F61EC"/>
    <w:rsid w:val="00703052"/>
    <w:rsid w:val="007041B5"/>
    <w:rsid w:val="007047A4"/>
    <w:rsid w:val="0070502B"/>
    <w:rsid w:val="0070580A"/>
    <w:rsid w:val="00706198"/>
    <w:rsid w:val="0070720A"/>
    <w:rsid w:val="00707526"/>
    <w:rsid w:val="00707A94"/>
    <w:rsid w:val="00707D4C"/>
    <w:rsid w:val="007106BA"/>
    <w:rsid w:val="00711292"/>
    <w:rsid w:val="00714023"/>
    <w:rsid w:val="007145FF"/>
    <w:rsid w:val="00715818"/>
    <w:rsid w:val="00715CB6"/>
    <w:rsid w:val="0071616D"/>
    <w:rsid w:val="00716C73"/>
    <w:rsid w:val="0071784F"/>
    <w:rsid w:val="0072415A"/>
    <w:rsid w:val="007259BC"/>
    <w:rsid w:val="00726D9F"/>
    <w:rsid w:val="007311C9"/>
    <w:rsid w:val="00733746"/>
    <w:rsid w:val="0073454F"/>
    <w:rsid w:val="0074048A"/>
    <w:rsid w:val="00741395"/>
    <w:rsid w:val="0074187C"/>
    <w:rsid w:val="007430CA"/>
    <w:rsid w:val="0074427A"/>
    <w:rsid w:val="00747E34"/>
    <w:rsid w:val="0075025E"/>
    <w:rsid w:val="00750A33"/>
    <w:rsid w:val="0075150C"/>
    <w:rsid w:val="00751515"/>
    <w:rsid w:val="007527C1"/>
    <w:rsid w:val="0075490C"/>
    <w:rsid w:val="00754B1C"/>
    <w:rsid w:val="007578E8"/>
    <w:rsid w:val="00761942"/>
    <w:rsid w:val="0076241F"/>
    <w:rsid w:val="0076280D"/>
    <w:rsid w:val="00762FFD"/>
    <w:rsid w:val="007720A5"/>
    <w:rsid w:val="0078329A"/>
    <w:rsid w:val="00783B71"/>
    <w:rsid w:val="00784412"/>
    <w:rsid w:val="00785232"/>
    <w:rsid w:val="007918D9"/>
    <w:rsid w:val="00793970"/>
    <w:rsid w:val="00794CFD"/>
    <w:rsid w:val="00796A12"/>
    <w:rsid w:val="00796E74"/>
    <w:rsid w:val="007A08AA"/>
    <w:rsid w:val="007A15EE"/>
    <w:rsid w:val="007A306D"/>
    <w:rsid w:val="007A5F1D"/>
    <w:rsid w:val="007A61B3"/>
    <w:rsid w:val="007A7AF6"/>
    <w:rsid w:val="007B28BE"/>
    <w:rsid w:val="007B5C63"/>
    <w:rsid w:val="007B7396"/>
    <w:rsid w:val="007C079D"/>
    <w:rsid w:val="007C1002"/>
    <w:rsid w:val="007C1DCC"/>
    <w:rsid w:val="007C3A0E"/>
    <w:rsid w:val="007C3ED0"/>
    <w:rsid w:val="007D0AD9"/>
    <w:rsid w:val="007D2289"/>
    <w:rsid w:val="007D2FE1"/>
    <w:rsid w:val="007D3D33"/>
    <w:rsid w:val="007D76FC"/>
    <w:rsid w:val="007E406E"/>
    <w:rsid w:val="007E4A9F"/>
    <w:rsid w:val="007F5F9B"/>
    <w:rsid w:val="00802873"/>
    <w:rsid w:val="008040B8"/>
    <w:rsid w:val="00805A83"/>
    <w:rsid w:val="00806A76"/>
    <w:rsid w:val="00811C9D"/>
    <w:rsid w:val="00814EF4"/>
    <w:rsid w:val="00816C80"/>
    <w:rsid w:val="00820126"/>
    <w:rsid w:val="0082015A"/>
    <w:rsid w:val="00823523"/>
    <w:rsid w:val="00825BAF"/>
    <w:rsid w:val="0082641B"/>
    <w:rsid w:val="008268D5"/>
    <w:rsid w:val="00826A94"/>
    <w:rsid w:val="008278B2"/>
    <w:rsid w:val="00831CEA"/>
    <w:rsid w:val="008332AC"/>
    <w:rsid w:val="0083342A"/>
    <w:rsid w:val="0084008F"/>
    <w:rsid w:val="00841BCD"/>
    <w:rsid w:val="008470F6"/>
    <w:rsid w:val="0085201A"/>
    <w:rsid w:val="00857FC9"/>
    <w:rsid w:val="00862775"/>
    <w:rsid w:val="00863B14"/>
    <w:rsid w:val="00864577"/>
    <w:rsid w:val="00864992"/>
    <w:rsid w:val="008658D5"/>
    <w:rsid w:val="00870CCB"/>
    <w:rsid w:val="00871019"/>
    <w:rsid w:val="0087233E"/>
    <w:rsid w:val="008729AE"/>
    <w:rsid w:val="00877049"/>
    <w:rsid w:val="00881AE5"/>
    <w:rsid w:val="008826C1"/>
    <w:rsid w:val="00886AF2"/>
    <w:rsid w:val="00891635"/>
    <w:rsid w:val="0089227B"/>
    <w:rsid w:val="00894DBC"/>
    <w:rsid w:val="00894F68"/>
    <w:rsid w:val="008960FF"/>
    <w:rsid w:val="008977B9"/>
    <w:rsid w:val="008A42D0"/>
    <w:rsid w:val="008A4AC4"/>
    <w:rsid w:val="008A4C8B"/>
    <w:rsid w:val="008A635E"/>
    <w:rsid w:val="008A69EC"/>
    <w:rsid w:val="008A6D84"/>
    <w:rsid w:val="008B1670"/>
    <w:rsid w:val="008B2312"/>
    <w:rsid w:val="008B5B38"/>
    <w:rsid w:val="008B67BD"/>
    <w:rsid w:val="008C720E"/>
    <w:rsid w:val="008C7475"/>
    <w:rsid w:val="008C7844"/>
    <w:rsid w:val="008C7916"/>
    <w:rsid w:val="008D0338"/>
    <w:rsid w:val="008D5AF1"/>
    <w:rsid w:val="008E0A1C"/>
    <w:rsid w:val="008E1985"/>
    <w:rsid w:val="008E2254"/>
    <w:rsid w:val="008E31F8"/>
    <w:rsid w:val="008E67FB"/>
    <w:rsid w:val="008F0128"/>
    <w:rsid w:val="008F2044"/>
    <w:rsid w:val="008F5164"/>
    <w:rsid w:val="008F64E5"/>
    <w:rsid w:val="008F7B6B"/>
    <w:rsid w:val="009005B9"/>
    <w:rsid w:val="00900C72"/>
    <w:rsid w:val="009042BD"/>
    <w:rsid w:val="0090747A"/>
    <w:rsid w:val="00910B17"/>
    <w:rsid w:val="00911E46"/>
    <w:rsid w:val="009141BA"/>
    <w:rsid w:val="00915C60"/>
    <w:rsid w:val="00923241"/>
    <w:rsid w:val="00925178"/>
    <w:rsid w:val="009251ED"/>
    <w:rsid w:val="00926655"/>
    <w:rsid w:val="0093021E"/>
    <w:rsid w:val="009375F7"/>
    <w:rsid w:val="0094041B"/>
    <w:rsid w:val="009427A9"/>
    <w:rsid w:val="00943983"/>
    <w:rsid w:val="009455DA"/>
    <w:rsid w:val="009468AA"/>
    <w:rsid w:val="0095687B"/>
    <w:rsid w:val="00960417"/>
    <w:rsid w:val="00960F25"/>
    <w:rsid w:val="00961D90"/>
    <w:rsid w:val="0096398E"/>
    <w:rsid w:val="00963B53"/>
    <w:rsid w:val="00966E36"/>
    <w:rsid w:val="009679CC"/>
    <w:rsid w:val="0097080A"/>
    <w:rsid w:val="00970CF3"/>
    <w:rsid w:val="00970D3C"/>
    <w:rsid w:val="00971A14"/>
    <w:rsid w:val="00975A16"/>
    <w:rsid w:val="00976113"/>
    <w:rsid w:val="00977E1D"/>
    <w:rsid w:val="00980373"/>
    <w:rsid w:val="00982A88"/>
    <w:rsid w:val="00985535"/>
    <w:rsid w:val="009919A3"/>
    <w:rsid w:val="009934F8"/>
    <w:rsid w:val="00995886"/>
    <w:rsid w:val="00996A54"/>
    <w:rsid w:val="00997744"/>
    <w:rsid w:val="009A2D2B"/>
    <w:rsid w:val="009A4337"/>
    <w:rsid w:val="009A51CC"/>
    <w:rsid w:val="009A52DC"/>
    <w:rsid w:val="009B227B"/>
    <w:rsid w:val="009B3674"/>
    <w:rsid w:val="009B602E"/>
    <w:rsid w:val="009B6C1A"/>
    <w:rsid w:val="009C60FD"/>
    <w:rsid w:val="009C787D"/>
    <w:rsid w:val="009D341F"/>
    <w:rsid w:val="009D5447"/>
    <w:rsid w:val="009D7F56"/>
    <w:rsid w:val="009E34DF"/>
    <w:rsid w:val="009F0431"/>
    <w:rsid w:val="009F0FAF"/>
    <w:rsid w:val="009F243A"/>
    <w:rsid w:val="009F544F"/>
    <w:rsid w:val="009F5670"/>
    <w:rsid w:val="009F6DBE"/>
    <w:rsid w:val="00A020F4"/>
    <w:rsid w:val="00A118E8"/>
    <w:rsid w:val="00A13DDC"/>
    <w:rsid w:val="00A15112"/>
    <w:rsid w:val="00A1678F"/>
    <w:rsid w:val="00A17B37"/>
    <w:rsid w:val="00A200EE"/>
    <w:rsid w:val="00A20F36"/>
    <w:rsid w:val="00A21230"/>
    <w:rsid w:val="00A21578"/>
    <w:rsid w:val="00A22B78"/>
    <w:rsid w:val="00A2461A"/>
    <w:rsid w:val="00A25AE5"/>
    <w:rsid w:val="00A313E5"/>
    <w:rsid w:val="00A34CCC"/>
    <w:rsid w:val="00A409BB"/>
    <w:rsid w:val="00A40EC2"/>
    <w:rsid w:val="00A42663"/>
    <w:rsid w:val="00A4485C"/>
    <w:rsid w:val="00A460FA"/>
    <w:rsid w:val="00A47F7F"/>
    <w:rsid w:val="00A51EB7"/>
    <w:rsid w:val="00A52249"/>
    <w:rsid w:val="00A5246B"/>
    <w:rsid w:val="00A52A3B"/>
    <w:rsid w:val="00A52BD3"/>
    <w:rsid w:val="00A625A6"/>
    <w:rsid w:val="00A62734"/>
    <w:rsid w:val="00A65893"/>
    <w:rsid w:val="00A736F6"/>
    <w:rsid w:val="00A753DE"/>
    <w:rsid w:val="00A761A3"/>
    <w:rsid w:val="00A7717A"/>
    <w:rsid w:val="00A832D5"/>
    <w:rsid w:val="00A870E2"/>
    <w:rsid w:val="00A907CB"/>
    <w:rsid w:val="00A90E3B"/>
    <w:rsid w:val="00A91648"/>
    <w:rsid w:val="00A93BAD"/>
    <w:rsid w:val="00A96327"/>
    <w:rsid w:val="00AA08C9"/>
    <w:rsid w:val="00AA0988"/>
    <w:rsid w:val="00AA1B0E"/>
    <w:rsid w:val="00AA1C6E"/>
    <w:rsid w:val="00AA2FE5"/>
    <w:rsid w:val="00AA508B"/>
    <w:rsid w:val="00AA60FA"/>
    <w:rsid w:val="00AA6DBC"/>
    <w:rsid w:val="00AB06D5"/>
    <w:rsid w:val="00AB1E2C"/>
    <w:rsid w:val="00AB53A3"/>
    <w:rsid w:val="00AB5A31"/>
    <w:rsid w:val="00AC03EC"/>
    <w:rsid w:val="00AC4389"/>
    <w:rsid w:val="00AC46F3"/>
    <w:rsid w:val="00AC5CA7"/>
    <w:rsid w:val="00AC7172"/>
    <w:rsid w:val="00AD1216"/>
    <w:rsid w:val="00AE4E14"/>
    <w:rsid w:val="00AE78AF"/>
    <w:rsid w:val="00AF0857"/>
    <w:rsid w:val="00AF21F5"/>
    <w:rsid w:val="00AF3F5A"/>
    <w:rsid w:val="00AF7282"/>
    <w:rsid w:val="00B0082E"/>
    <w:rsid w:val="00B02489"/>
    <w:rsid w:val="00B07A4B"/>
    <w:rsid w:val="00B13C57"/>
    <w:rsid w:val="00B14CF0"/>
    <w:rsid w:val="00B16B9B"/>
    <w:rsid w:val="00B171F0"/>
    <w:rsid w:val="00B23C25"/>
    <w:rsid w:val="00B24673"/>
    <w:rsid w:val="00B2497F"/>
    <w:rsid w:val="00B25E76"/>
    <w:rsid w:val="00B27252"/>
    <w:rsid w:val="00B2789E"/>
    <w:rsid w:val="00B27CEF"/>
    <w:rsid w:val="00B3026D"/>
    <w:rsid w:val="00B308E7"/>
    <w:rsid w:val="00B31965"/>
    <w:rsid w:val="00B31CD5"/>
    <w:rsid w:val="00B31E9A"/>
    <w:rsid w:val="00B34766"/>
    <w:rsid w:val="00B36D5B"/>
    <w:rsid w:val="00B411F1"/>
    <w:rsid w:val="00B41953"/>
    <w:rsid w:val="00B43505"/>
    <w:rsid w:val="00B4452D"/>
    <w:rsid w:val="00B4460A"/>
    <w:rsid w:val="00B469B2"/>
    <w:rsid w:val="00B51DCE"/>
    <w:rsid w:val="00B55FDC"/>
    <w:rsid w:val="00B62A7B"/>
    <w:rsid w:val="00B65F6D"/>
    <w:rsid w:val="00B72BC9"/>
    <w:rsid w:val="00B767A1"/>
    <w:rsid w:val="00B84E3C"/>
    <w:rsid w:val="00B8554B"/>
    <w:rsid w:val="00B96672"/>
    <w:rsid w:val="00B96DA3"/>
    <w:rsid w:val="00BA01FA"/>
    <w:rsid w:val="00BA12A1"/>
    <w:rsid w:val="00BA2BD8"/>
    <w:rsid w:val="00BA6E48"/>
    <w:rsid w:val="00BB213E"/>
    <w:rsid w:val="00BB6036"/>
    <w:rsid w:val="00BB6BEA"/>
    <w:rsid w:val="00BC0518"/>
    <w:rsid w:val="00BC20DA"/>
    <w:rsid w:val="00BC4263"/>
    <w:rsid w:val="00BC4539"/>
    <w:rsid w:val="00BC67C6"/>
    <w:rsid w:val="00BC6ADB"/>
    <w:rsid w:val="00BC7C70"/>
    <w:rsid w:val="00BD149A"/>
    <w:rsid w:val="00BD1516"/>
    <w:rsid w:val="00BD34B0"/>
    <w:rsid w:val="00BE350B"/>
    <w:rsid w:val="00BE37FB"/>
    <w:rsid w:val="00BE3E89"/>
    <w:rsid w:val="00BE5CC3"/>
    <w:rsid w:val="00BE5F1B"/>
    <w:rsid w:val="00BE6B0A"/>
    <w:rsid w:val="00BE7C72"/>
    <w:rsid w:val="00BF15B1"/>
    <w:rsid w:val="00BF168E"/>
    <w:rsid w:val="00BF2218"/>
    <w:rsid w:val="00BF6CF4"/>
    <w:rsid w:val="00C03DB4"/>
    <w:rsid w:val="00C07FAE"/>
    <w:rsid w:val="00C12E65"/>
    <w:rsid w:val="00C14AFE"/>
    <w:rsid w:val="00C17A1E"/>
    <w:rsid w:val="00C219F1"/>
    <w:rsid w:val="00C24184"/>
    <w:rsid w:val="00C25509"/>
    <w:rsid w:val="00C27CD5"/>
    <w:rsid w:val="00C36184"/>
    <w:rsid w:val="00C36DF3"/>
    <w:rsid w:val="00C40DAC"/>
    <w:rsid w:val="00C41892"/>
    <w:rsid w:val="00C4221E"/>
    <w:rsid w:val="00C43BCA"/>
    <w:rsid w:val="00C44972"/>
    <w:rsid w:val="00C47463"/>
    <w:rsid w:val="00C517AB"/>
    <w:rsid w:val="00C52E17"/>
    <w:rsid w:val="00C530CB"/>
    <w:rsid w:val="00C57481"/>
    <w:rsid w:val="00C65F82"/>
    <w:rsid w:val="00C66BDB"/>
    <w:rsid w:val="00C66DE9"/>
    <w:rsid w:val="00C67D92"/>
    <w:rsid w:val="00C707CE"/>
    <w:rsid w:val="00C716D6"/>
    <w:rsid w:val="00C81BC8"/>
    <w:rsid w:val="00CA22D5"/>
    <w:rsid w:val="00CA25C0"/>
    <w:rsid w:val="00CA6ADC"/>
    <w:rsid w:val="00CA7DDF"/>
    <w:rsid w:val="00CB24C3"/>
    <w:rsid w:val="00CB41F9"/>
    <w:rsid w:val="00CB43FA"/>
    <w:rsid w:val="00CB5A09"/>
    <w:rsid w:val="00CC012F"/>
    <w:rsid w:val="00CC2C6A"/>
    <w:rsid w:val="00CC470A"/>
    <w:rsid w:val="00CD2945"/>
    <w:rsid w:val="00CD6AC0"/>
    <w:rsid w:val="00CD7492"/>
    <w:rsid w:val="00CE2443"/>
    <w:rsid w:val="00CE2BEE"/>
    <w:rsid w:val="00CE3A6B"/>
    <w:rsid w:val="00CF027F"/>
    <w:rsid w:val="00CF0502"/>
    <w:rsid w:val="00CF17A8"/>
    <w:rsid w:val="00CF4364"/>
    <w:rsid w:val="00CF49C4"/>
    <w:rsid w:val="00CF4F06"/>
    <w:rsid w:val="00CF766D"/>
    <w:rsid w:val="00D00211"/>
    <w:rsid w:val="00D01D07"/>
    <w:rsid w:val="00D02F89"/>
    <w:rsid w:val="00D03530"/>
    <w:rsid w:val="00D06309"/>
    <w:rsid w:val="00D1106E"/>
    <w:rsid w:val="00D1221A"/>
    <w:rsid w:val="00D12838"/>
    <w:rsid w:val="00D13CF7"/>
    <w:rsid w:val="00D24102"/>
    <w:rsid w:val="00D256B7"/>
    <w:rsid w:val="00D34988"/>
    <w:rsid w:val="00D349DC"/>
    <w:rsid w:val="00D351EA"/>
    <w:rsid w:val="00D354C4"/>
    <w:rsid w:val="00D35594"/>
    <w:rsid w:val="00D370E7"/>
    <w:rsid w:val="00D410E6"/>
    <w:rsid w:val="00D43403"/>
    <w:rsid w:val="00D53298"/>
    <w:rsid w:val="00D53D95"/>
    <w:rsid w:val="00D60DB0"/>
    <w:rsid w:val="00D62E71"/>
    <w:rsid w:val="00D631D8"/>
    <w:rsid w:val="00D65C3E"/>
    <w:rsid w:val="00D6645D"/>
    <w:rsid w:val="00D715FB"/>
    <w:rsid w:val="00D71FC3"/>
    <w:rsid w:val="00D7262A"/>
    <w:rsid w:val="00D726D0"/>
    <w:rsid w:val="00D740CA"/>
    <w:rsid w:val="00D74538"/>
    <w:rsid w:val="00D76FC6"/>
    <w:rsid w:val="00D8304C"/>
    <w:rsid w:val="00D832DA"/>
    <w:rsid w:val="00D85728"/>
    <w:rsid w:val="00D858D2"/>
    <w:rsid w:val="00D85DC3"/>
    <w:rsid w:val="00D8661B"/>
    <w:rsid w:val="00D86F16"/>
    <w:rsid w:val="00D91DE2"/>
    <w:rsid w:val="00D91ED8"/>
    <w:rsid w:val="00DA087B"/>
    <w:rsid w:val="00DA4D55"/>
    <w:rsid w:val="00DB5EE5"/>
    <w:rsid w:val="00DC29C9"/>
    <w:rsid w:val="00DC34DE"/>
    <w:rsid w:val="00DC4B87"/>
    <w:rsid w:val="00DD0A73"/>
    <w:rsid w:val="00DD0B22"/>
    <w:rsid w:val="00DD15F1"/>
    <w:rsid w:val="00DD2137"/>
    <w:rsid w:val="00DD2F76"/>
    <w:rsid w:val="00DD497E"/>
    <w:rsid w:val="00DD649F"/>
    <w:rsid w:val="00DD7002"/>
    <w:rsid w:val="00DD76F3"/>
    <w:rsid w:val="00DE0EB1"/>
    <w:rsid w:val="00DE2B60"/>
    <w:rsid w:val="00DE3169"/>
    <w:rsid w:val="00DE35F7"/>
    <w:rsid w:val="00DE50DE"/>
    <w:rsid w:val="00DE5AC9"/>
    <w:rsid w:val="00DE5F01"/>
    <w:rsid w:val="00DE7EA4"/>
    <w:rsid w:val="00DF01C4"/>
    <w:rsid w:val="00DF0B7B"/>
    <w:rsid w:val="00DF2997"/>
    <w:rsid w:val="00DF3435"/>
    <w:rsid w:val="00DF3461"/>
    <w:rsid w:val="00DF5A85"/>
    <w:rsid w:val="00DF6FED"/>
    <w:rsid w:val="00E00441"/>
    <w:rsid w:val="00E0198A"/>
    <w:rsid w:val="00E01B57"/>
    <w:rsid w:val="00E037ED"/>
    <w:rsid w:val="00E03C16"/>
    <w:rsid w:val="00E0619A"/>
    <w:rsid w:val="00E15BED"/>
    <w:rsid w:val="00E17629"/>
    <w:rsid w:val="00E17B90"/>
    <w:rsid w:val="00E20DD2"/>
    <w:rsid w:val="00E247CC"/>
    <w:rsid w:val="00E257DE"/>
    <w:rsid w:val="00E269F0"/>
    <w:rsid w:val="00E3080C"/>
    <w:rsid w:val="00E30ADB"/>
    <w:rsid w:val="00E344A7"/>
    <w:rsid w:val="00E34909"/>
    <w:rsid w:val="00E35703"/>
    <w:rsid w:val="00E37087"/>
    <w:rsid w:val="00E3777B"/>
    <w:rsid w:val="00E403A7"/>
    <w:rsid w:val="00E404A5"/>
    <w:rsid w:val="00E4069D"/>
    <w:rsid w:val="00E42707"/>
    <w:rsid w:val="00E50C7F"/>
    <w:rsid w:val="00E5736D"/>
    <w:rsid w:val="00E61110"/>
    <w:rsid w:val="00E64435"/>
    <w:rsid w:val="00E6704F"/>
    <w:rsid w:val="00E72B96"/>
    <w:rsid w:val="00E75021"/>
    <w:rsid w:val="00E75626"/>
    <w:rsid w:val="00E8590A"/>
    <w:rsid w:val="00E86FB4"/>
    <w:rsid w:val="00E91A5B"/>
    <w:rsid w:val="00EA0C50"/>
    <w:rsid w:val="00EA0F4B"/>
    <w:rsid w:val="00EA2462"/>
    <w:rsid w:val="00EA2CB2"/>
    <w:rsid w:val="00EA3482"/>
    <w:rsid w:val="00EA3B6F"/>
    <w:rsid w:val="00EA3EA9"/>
    <w:rsid w:val="00EA63D8"/>
    <w:rsid w:val="00EA69DF"/>
    <w:rsid w:val="00EB080E"/>
    <w:rsid w:val="00EC0BD8"/>
    <w:rsid w:val="00EC184E"/>
    <w:rsid w:val="00EC2A9C"/>
    <w:rsid w:val="00EC4EF4"/>
    <w:rsid w:val="00EC587A"/>
    <w:rsid w:val="00EC5ABF"/>
    <w:rsid w:val="00EC5F4D"/>
    <w:rsid w:val="00EC7BC3"/>
    <w:rsid w:val="00ED17D0"/>
    <w:rsid w:val="00ED1BCA"/>
    <w:rsid w:val="00ED7600"/>
    <w:rsid w:val="00EE48A6"/>
    <w:rsid w:val="00EE51C7"/>
    <w:rsid w:val="00EE6D2F"/>
    <w:rsid w:val="00EE6FC7"/>
    <w:rsid w:val="00EE7F4D"/>
    <w:rsid w:val="00EF3E91"/>
    <w:rsid w:val="00EF7C9F"/>
    <w:rsid w:val="00F0018E"/>
    <w:rsid w:val="00F04C45"/>
    <w:rsid w:val="00F0628F"/>
    <w:rsid w:val="00F101B7"/>
    <w:rsid w:val="00F11EBE"/>
    <w:rsid w:val="00F1362C"/>
    <w:rsid w:val="00F205DB"/>
    <w:rsid w:val="00F21025"/>
    <w:rsid w:val="00F21A14"/>
    <w:rsid w:val="00F224D6"/>
    <w:rsid w:val="00F26DCD"/>
    <w:rsid w:val="00F270A5"/>
    <w:rsid w:val="00F3511A"/>
    <w:rsid w:val="00F41205"/>
    <w:rsid w:val="00F41A91"/>
    <w:rsid w:val="00F421DD"/>
    <w:rsid w:val="00F42B07"/>
    <w:rsid w:val="00F46EE2"/>
    <w:rsid w:val="00F4761D"/>
    <w:rsid w:val="00F64578"/>
    <w:rsid w:val="00F657A2"/>
    <w:rsid w:val="00F674F9"/>
    <w:rsid w:val="00F67922"/>
    <w:rsid w:val="00F70033"/>
    <w:rsid w:val="00F72507"/>
    <w:rsid w:val="00F72ED0"/>
    <w:rsid w:val="00F73C1C"/>
    <w:rsid w:val="00F7450D"/>
    <w:rsid w:val="00F824F5"/>
    <w:rsid w:val="00F83212"/>
    <w:rsid w:val="00F83877"/>
    <w:rsid w:val="00F84643"/>
    <w:rsid w:val="00F84987"/>
    <w:rsid w:val="00F84BA1"/>
    <w:rsid w:val="00F85D40"/>
    <w:rsid w:val="00F86A70"/>
    <w:rsid w:val="00F87098"/>
    <w:rsid w:val="00F94099"/>
    <w:rsid w:val="00F95135"/>
    <w:rsid w:val="00F95D1B"/>
    <w:rsid w:val="00F97D79"/>
    <w:rsid w:val="00FA0EDC"/>
    <w:rsid w:val="00FA3135"/>
    <w:rsid w:val="00FA3537"/>
    <w:rsid w:val="00FA5814"/>
    <w:rsid w:val="00FA5B47"/>
    <w:rsid w:val="00FA7959"/>
    <w:rsid w:val="00FB2DC0"/>
    <w:rsid w:val="00FB3E7A"/>
    <w:rsid w:val="00FB49DD"/>
    <w:rsid w:val="00FB526B"/>
    <w:rsid w:val="00FB6469"/>
    <w:rsid w:val="00FB7EDC"/>
    <w:rsid w:val="00FC114F"/>
    <w:rsid w:val="00FC138C"/>
    <w:rsid w:val="00FC1E8B"/>
    <w:rsid w:val="00FC29B9"/>
    <w:rsid w:val="00FC3805"/>
    <w:rsid w:val="00FC3978"/>
    <w:rsid w:val="00FC6004"/>
    <w:rsid w:val="00FC6FD3"/>
    <w:rsid w:val="00FC76A3"/>
    <w:rsid w:val="00FC7853"/>
    <w:rsid w:val="00FD2D1E"/>
    <w:rsid w:val="00FD4FC6"/>
    <w:rsid w:val="00FD5649"/>
    <w:rsid w:val="00FD7741"/>
    <w:rsid w:val="00FE5B8F"/>
    <w:rsid w:val="00FE616E"/>
    <w:rsid w:val="00FF2E71"/>
    <w:rsid w:val="00FF4BA9"/>
    <w:rsid w:val="00FF6C99"/>
    <w:rsid w:val="036C8227"/>
    <w:rsid w:val="09B3759D"/>
    <w:rsid w:val="11FABD2C"/>
    <w:rsid w:val="30B6439F"/>
    <w:rsid w:val="3AB671B9"/>
    <w:rsid w:val="3D0D5580"/>
    <w:rsid w:val="4F3A84F5"/>
    <w:rsid w:val="74EDABBF"/>
    <w:rsid w:val="790CC194"/>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15AEF419-A2FB-47EB-B04C-19A3B4948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54E"/>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7"/>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RAN4H3">
    <w:name w:val="RAN4 H3"/>
    <w:basedOn w:val="Normal"/>
    <w:qFormat/>
    <w:rsid w:val="000F6E70"/>
    <w:pPr>
      <w:ind w:left="505" w:hanging="505"/>
    </w:pPr>
    <w:rPr>
      <w:rFonts w:ascii="Arial" w:eastAsiaTheme="minorEastAsia" w:hAnsi="Arial" w:cs="Arial"/>
      <w:sz w:val="24"/>
    </w:rPr>
  </w:style>
  <w:style w:type="paragraph" w:customStyle="1" w:styleId="TAC">
    <w:name w:val="TAC"/>
    <w:basedOn w:val="TAL"/>
    <w:link w:val="TACChar"/>
    <w:qFormat/>
    <w:rsid w:val="00C57481"/>
    <w:pPr>
      <w:overflowPunct w:val="0"/>
      <w:autoSpaceDE w:val="0"/>
      <w:autoSpaceDN w:val="0"/>
      <w:adjustRightInd w:val="0"/>
      <w:jc w:val="center"/>
      <w:textAlignment w:val="baseline"/>
    </w:pPr>
    <w:rPr>
      <w:lang w:eastAsia="en-GB"/>
    </w:rPr>
  </w:style>
  <w:style w:type="character" w:customStyle="1" w:styleId="TACChar">
    <w:name w:val="TAC Char"/>
    <w:link w:val="TAC"/>
    <w:qFormat/>
    <w:rsid w:val="00C57481"/>
    <w:rPr>
      <w:rFonts w:ascii="Arial" w:eastAsia="Times New Roman" w:hAnsi="Arial" w:cs="Times New Roman"/>
      <w:sz w:val="18"/>
      <w:szCs w:val="20"/>
      <w:lang w:val="en-GB" w:eastAsia="en-GB"/>
    </w:rPr>
  </w:style>
  <w:style w:type="paragraph" w:customStyle="1" w:styleId="TH">
    <w:name w:val="TH"/>
    <w:basedOn w:val="Normal"/>
    <w:link w:val="THChar"/>
    <w:rsid w:val="00C5748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57481"/>
    <w:rPr>
      <w:rFonts w:ascii="Arial" w:eastAsia="Times New Roman" w:hAnsi="Arial" w:cs="Times New Roman"/>
      <w:b/>
      <w:sz w:val="20"/>
      <w:szCs w:val="20"/>
      <w:lang w:val="en-GB" w:eastAsia="en-GB"/>
    </w:rPr>
  </w:style>
  <w:style w:type="paragraph" w:customStyle="1" w:styleId="TAH">
    <w:name w:val="TAH"/>
    <w:basedOn w:val="TAC"/>
    <w:link w:val="TAHCar"/>
    <w:uiPriority w:val="99"/>
    <w:qFormat/>
    <w:rsid w:val="00C57481"/>
    <w:rPr>
      <w:b/>
    </w:rPr>
  </w:style>
  <w:style w:type="character" w:customStyle="1" w:styleId="TAHCar">
    <w:name w:val="TAH Car"/>
    <w:link w:val="TAH"/>
    <w:uiPriority w:val="99"/>
    <w:qFormat/>
    <w:rsid w:val="00C57481"/>
    <w:rPr>
      <w:rFonts w:ascii="Arial" w:eastAsia="Times New Roman"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64">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42993125">
      <w:bodyDiv w:val="1"/>
      <w:marLeft w:val="0"/>
      <w:marRight w:val="0"/>
      <w:marTop w:val="0"/>
      <w:marBottom w:val="0"/>
      <w:divBdr>
        <w:top w:val="none" w:sz="0" w:space="0" w:color="auto"/>
        <w:left w:val="none" w:sz="0" w:space="0" w:color="auto"/>
        <w:bottom w:val="none" w:sz="0" w:space="0" w:color="auto"/>
        <w:right w:val="none" w:sz="0" w:space="0" w:color="auto"/>
      </w:divBdr>
    </w:div>
    <w:div w:id="43414316">
      <w:bodyDiv w:val="1"/>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4398636">
      <w:bodyDiv w:val="1"/>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4295944">
      <w:bodyDiv w:val="1"/>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2501169">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91319">
      <w:bodyDiv w:val="1"/>
      <w:marLeft w:val="0"/>
      <w:marRight w:val="0"/>
      <w:marTop w:val="0"/>
      <w:marBottom w:val="0"/>
      <w:divBdr>
        <w:top w:val="none" w:sz="0" w:space="0" w:color="auto"/>
        <w:left w:val="none" w:sz="0" w:space="0" w:color="auto"/>
        <w:bottom w:val="none" w:sz="0" w:space="0" w:color="auto"/>
        <w:right w:val="none" w:sz="0" w:space="0" w:color="auto"/>
      </w:divBdr>
      <w:divsChild>
        <w:div w:id="284580360">
          <w:marLeft w:val="0"/>
          <w:marRight w:val="0"/>
          <w:marTop w:val="0"/>
          <w:marBottom w:val="0"/>
          <w:divBdr>
            <w:top w:val="none" w:sz="0" w:space="0" w:color="auto"/>
            <w:left w:val="none" w:sz="0" w:space="0" w:color="auto"/>
            <w:bottom w:val="none" w:sz="0" w:space="0" w:color="auto"/>
            <w:right w:val="none" w:sz="0" w:space="0" w:color="auto"/>
          </w:divBdr>
        </w:div>
        <w:div w:id="890851171">
          <w:marLeft w:val="0"/>
          <w:marRight w:val="0"/>
          <w:marTop w:val="0"/>
          <w:marBottom w:val="0"/>
          <w:divBdr>
            <w:top w:val="none" w:sz="0" w:space="0" w:color="auto"/>
            <w:left w:val="none" w:sz="0" w:space="0" w:color="auto"/>
            <w:bottom w:val="none" w:sz="0" w:space="0" w:color="auto"/>
            <w:right w:val="none" w:sz="0" w:space="0" w:color="auto"/>
          </w:divBdr>
        </w:div>
        <w:div w:id="1248615419">
          <w:marLeft w:val="0"/>
          <w:marRight w:val="0"/>
          <w:marTop w:val="0"/>
          <w:marBottom w:val="0"/>
          <w:divBdr>
            <w:top w:val="none" w:sz="0" w:space="0" w:color="auto"/>
            <w:left w:val="none" w:sz="0" w:space="0" w:color="auto"/>
            <w:bottom w:val="none" w:sz="0" w:space="0" w:color="auto"/>
            <w:right w:val="none" w:sz="0" w:space="0" w:color="auto"/>
          </w:divBdr>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0805061">
      <w:bodyDiv w:val="1"/>
      <w:marLeft w:val="0"/>
      <w:marRight w:val="0"/>
      <w:marTop w:val="0"/>
      <w:marBottom w:val="0"/>
      <w:divBdr>
        <w:top w:val="none" w:sz="0" w:space="0" w:color="auto"/>
        <w:left w:val="none" w:sz="0" w:space="0" w:color="auto"/>
        <w:bottom w:val="none" w:sz="0" w:space="0" w:color="auto"/>
        <w:right w:val="none" w:sz="0" w:space="0" w:color="auto"/>
      </w:divBdr>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22381851">
      <w:marLeft w:val="0"/>
      <w:marRight w:val="0"/>
      <w:marTop w:val="0"/>
      <w:marBottom w:val="0"/>
      <w:divBdr>
        <w:top w:val="none" w:sz="0" w:space="0" w:color="auto"/>
        <w:left w:val="none" w:sz="0" w:space="0" w:color="auto"/>
        <w:bottom w:val="none" w:sz="0" w:space="0" w:color="auto"/>
        <w:right w:val="none" w:sz="0" w:space="0" w:color="auto"/>
      </w:divBdr>
    </w:div>
    <w:div w:id="422460315">
      <w:bodyDiv w:val="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378487">
      <w:bodyDiv w:val="1"/>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30284516">
      <w:marLeft w:val="0"/>
      <w:marRight w:val="0"/>
      <w:marTop w:val="0"/>
      <w:marBottom w:val="0"/>
      <w:divBdr>
        <w:top w:val="none" w:sz="0" w:space="0" w:color="auto"/>
        <w:left w:val="none" w:sz="0" w:space="0" w:color="auto"/>
        <w:bottom w:val="none" w:sz="0" w:space="0" w:color="auto"/>
        <w:right w:val="none" w:sz="0" w:space="0" w:color="auto"/>
      </w:divBdr>
    </w:div>
    <w:div w:id="644772394">
      <w:bodyDiv w:val="1"/>
      <w:marLeft w:val="0"/>
      <w:marRight w:val="0"/>
      <w:marTop w:val="0"/>
      <w:marBottom w:val="0"/>
      <w:divBdr>
        <w:top w:val="none" w:sz="0" w:space="0" w:color="auto"/>
        <w:left w:val="none" w:sz="0" w:space="0" w:color="auto"/>
        <w:bottom w:val="none" w:sz="0" w:space="0" w:color="auto"/>
        <w:right w:val="none" w:sz="0" w:space="0" w:color="auto"/>
      </w:divBdr>
      <w:divsChild>
        <w:div w:id="294681680">
          <w:marLeft w:val="0"/>
          <w:marRight w:val="0"/>
          <w:marTop w:val="0"/>
          <w:marBottom w:val="0"/>
          <w:divBdr>
            <w:top w:val="none" w:sz="0" w:space="0" w:color="auto"/>
            <w:left w:val="none" w:sz="0" w:space="0" w:color="auto"/>
            <w:bottom w:val="none" w:sz="0" w:space="0" w:color="auto"/>
            <w:right w:val="none" w:sz="0" w:space="0" w:color="auto"/>
          </w:divBdr>
        </w:div>
      </w:divsChild>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3317906">
      <w:bodyDiv w:val="1"/>
      <w:marLeft w:val="0"/>
      <w:marRight w:val="0"/>
      <w:marTop w:val="0"/>
      <w:marBottom w:val="0"/>
      <w:divBdr>
        <w:top w:val="none" w:sz="0" w:space="0" w:color="auto"/>
        <w:left w:val="none" w:sz="0" w:space="0" w:color="auto"/>
        <w:bottom w:val="none" w:sz="0" w:space="0" w:color="auto"/>
        <w:right w:val="none" w:sz="0" w:space="0" w:color="auto"/>
      </w:divBdr>
      <w:divsChild>
        <w:div w:id="30688948">
          <w:marLeft w:val="360"/>
          <w:marRight w:val="0"/>
          <w:marTop w:val="200"/>
          <w:marBottom w:val="0"/>
          <w:divBdr>
            <w:top w:val="none" w:sz="0" w:space="0" w:color="auto"/>
            <w:left w:val="none" w:sz="0" w:space="0" w:color="auto"/>
            <w:bottom w:val="none" w:sz="0" w:space="0" w:color="auto"/>
            <w:right w:val="none" w:sz="0" w:space="0" w:color="auto"/>
          </w:divBdr>
        </w:div>
        <w:div w:id="79451649">
          <w:marLeft w:val="1080"/>
          <w:marRight w:val="0"/>
          <w:marTop w:val="100"/>
          <w:marBottom w:val="0"/>
          <w:divBdr>
            <w:top w:val="none" w:sz="0" w:space="0" w:color="auto"/>
            <w:left w:val="none" w:sz="0" w:space="0" w:color="auto"/>
            <w:bottom w:val="none" w:sz="0" w:space="0" w:color="auto"/>
            <w:right w:val="none" w:sz="0" w:space="0" w:color="auto"/>
          </w:divBdr>
        </w:div>
        <w:div w:id="204684720">
          <w:marLeft w:val="2520"/>
          <w:marRight w:val="0"/>
          <w:marTop w:val="100"/>
          <w:marBottom w:val="0"/>
          <w:divBdr>
            <w:top w:val="none" w:sz="0" w:space="0" w:color="auto"/>
            <w:left w:val="none" w:sz="0" w:space="0" w:color="auto"/>
            <w:bottom w:val="none" w:sz="0" w:space="0" w:color="auto"/>
            <w:right w:val="none" w:sz="0" w:space="0" w:color="auto"/>
          </w:divBdr>
        </w:div>
        <w:div w:id="905644509">
          <w:marLeft w:val="1800"/>
          <w:marRight w:val="0"/>
          <w:marTop w:val="100"/>
          <w:marBottom w:val="0"/>
          <w:divBdr>
            <w:top w:val="none" w:sz="0" w:space="0" w:color="auto"/>
            <w:left w:val="none" w:sz="0" w:space="0" w:color="auto"/>
            <w:bottom w:val="none" w:sz="0" w:space="0" w:color="auto"/>
            <w:right w:val="none" w:sz="0" w:space="0" w:color="auto"/>
          </w:divBdr>
        </w:div>
        <w:div w:id="1151217319">
          <w:marLeft w:val="1800"/>
          <w:marRight w:val="0"/>
          <w:marTop w:val="100"/>
          <w:marBottom w:val="0"/>
          <w:divBdr>
            <w:top w:val="none" w:sz="0" w:space="0" w:color="auto"/>
            <w:left w:val="none" w:sz="0" w:space="0" w:color="auto"/>
            <w:bottom w:val="none" w:sz="0" w:space="0" w:color="auto"/>
            <w:right w:val="none" w:sz="0" w:space="0" w:color="auto"/>
          </w:divBdr>
        </w:div>
        <w:div w:id="1551380234">
          <w:marLeft w:val="1080"/>
          <w:marRight w:val="0"/>
          <w:marTop w:val="100"/>
          <w:marBottom w:val="0"/>
          <w:divBdr>
            <w:top w:val="none" w:sz="0" w:space="0" w:color="auto"/>
            <w:left w:val="none" w:sz="0" w:space="0" w:color="auto"/>
            <w:bottom w:val="none" w:sz="0" w:space="0" w:color="auto"/>
            <w:right w:val="none" w:sz="0" w:space="0" w:color="auto"/>
          </w:divBdr>
        </w:div>
        <w:div w:id="1607344336">
          <w:marLeft w:val="2520"/>
          <w:marRight w:val="0"/>
          <w:marTop w:val="100"/>
          <w:marBottom w:val="0"/>
          <w:divBdr>
            <w:top w:val="none" w:sz="0" w:space="0" w:color="auto"/>
            <w:left w:val="none" w:sz="0" w:space="0" w:color="auto"/>
            <w:bottom w:val="none" w:sz="0" w:space="0" w:color="auto"/>
            <w:right w:val="none" w:sz="0" w:space="0" w:color="auto"/>
          </w:divBdr>
        </w:div>
        <w:div w:id="1626429094">
          <w:marLeft w:val="1800"/>
          <w:marRight w:val="0"/>
          <w:marTop w:val="100"/>
          <w:marBottom w:val="0"/>
          <w:divBdr>
            <w:top w:val="none" w:sz="0" w:space="0" w:color="auto"/>
            <w:left w:val="none" w:sz="0" w:space="0" w:color="auto"/>
            <w:bottom w:val="none" w:sz="0" w:space="0" w:color="auto"/>
            <w:right w:val="none" w:sz="0" w:space="0" w:color="auto"/>
          </w:divBdr>
        </w:div>
        <w:div w:id="1800294049">
          <w:marLeft w:val="1800"/>
          <w:marRight w:val="0"/>
          <w:marTop w:val="100"/>
          <w:marBottom w:val="0"/>
          <w:divBdr>
            <w:top w:val="none" w:sz="0" w:space="0" w:color="auto"/>
            <w:left w:val="none" w:sz="0" w:space="0" w:color="auto"/>
            <w:bottom w:val="none" w:sz="0" w:space="0" w:color="auto"/>
            <w:right w:val="none" w:sz="0" w:space="0" w:color="auto"/>
          </w:divBdr>
        </w:div>
        <w:div w:id="1993173041">
          <w:marLeft w:val="1800"/>
          <w:marRight w:val="0"/>
          <w:marTop w:val="100"/>
          <w:marBottom w:val="0"/>
          <w:divBdr>
            <w:top w:val="none" w:sz="0" w:space="0" w:color="auto"/>
            <w:left w:val="none" w:sz="0" w:space="0" w:color="auto"/>
            <w:bottom w:val="none" w:sz="0" w:space="0" w:color="auto"/>
            <w:right w:val="none" w:sz="0" w:space="0" w:color="auto"/>
          </w:divBdr>
        </w:div>
        <w:div w:id="2104034471">
          <w:marLeft w:val="1080"/>
          <w:marRight w:val="0"/>
          <w:marTop w:val="100"/>
          <w:marBottom w:val="0"/>
          <w:divBdr>
            <w:top w:val="none" w:sz="0" w:space="0" w:color="auto"/>
            <w:left w:val="none" w:sz="0" w:space="0" w:color="auto"/>
            <w:bottom w:val="none" w:sz="0" w:space="0" w:color="auto"/>
            <w:right w:val="none" w:sz="0" w:space="0" w:color="auto"/>
          </w:divBdr>
        </w:div>
      </w:divsChild>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18091249">
      <w:bodyDiv w:val="1"/>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4957655">
      <w:bodyDiv w:val="1"/>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04354403">
      <w:bodyDiv w:val="1"/>
      <w:marLeft w:val="0"/>
      <w:marRight w:val="0"/>
      <w:marTop w:val="0"/>
      <w:marBottom w:val="0"/>
      <w:divBdr>
        <w:top w:val="none" w:sz="0" w:space="0" w:color="auto"/>
        <w:left w:val="none" w:sz="0" w:space="0" w:color="auto"/>
        <w:bottom w:val="none" w:sz="0" w:space="0" w:color="auto"/>
        <w:right w:val="none" w:sz="0" w:space="0" w:color="auto"/>
      </w:divBdr>
      <w:divsChild>
        <w:div w:id="331840498">
          <w:marLeft w:val="0"/>
          <w:marRight w:val="0"/>
          <w:marTop w:val="0"/>
          <w:marBottom w:val="0"/>
          <w:divBdr>
            <w:top w:val="none" w:sz="0" w:space="0" w:color="auto"/>
            <w:left w:val="none" w:sz="0" w:space="0" w:color="auto"/>
            <w:bottom w:val="none" w:sz="0" w:space="0" w:color="auto"/>
            <w:right w:val="none" w:sz="0" w:space="0" w:color="auto"/>
          </w:divBdr>
        </w:div>
        <w:div w:id="1287010756">
          <w:marLeft w:val="0"/>
          <w:marRight w:val="0"/>
          <w:marTop w:val="0"/>
          <w:marBottom w:val="0"/>
          <w:divBdr>
            <w:top w:val="none" w:sz="0" w:space="0" w:color="auto"/>
            <w:left w:val="none" w:sz="0" w:space="0" w:color="auto"/>
            <w:bottom w:val="none" w:sz="0" w:space="0" w:color="auto"/>
            <w:right w:val="none" w:sz="0" w:space="0" w:color="auto"/>
          </w:divBdr>
        </w:div>
        <w:div w:id="1424109754">
          <w:marLeft w:val="0"/>
          <w:marRight w:val="0"/>
          <w:marTop w:val="0"/>
          <w:marBottom w:val="0"/>
          <w:divBdr>
            <w:top w:val="none" w:sz="0" w:space="0" w:color="auto"/>
            <w:left w:val="none" w:sz="0" w:space="0" w:color="auto"/>
            <w:bottom w:val="none" w:sz="0" w:space="0" w:color="auto"/>
            <w:right w:val="none" w:sz="0" w:space="0" w:color="auto"/>
          </w:divBdr>
        </w:div>
      </w:divsChild>
    </w:div>
    <w:div w:id="819663149">
      <w:bodyDiv w:val="1"/>
      <w:marLeft w:val="0"/>
      <w:marRight w:val="0"/>
      <w:marTop w:val="0"/>
      <w:marBottom w:val="0"/>
      <w:divBdr>
        <w:top w:val="none" w:sz="0" w:space="0" w:color="auto"/>
        <w:left w:val="none" w:sz="0" w:space="0" w:color="auto"/>
        <w:bottom w:val="none" w:sz="0" w:space="0" w:color="auto"/>
        <w:right w:val="none" w:sz="0" w:space="0" w:color="auto"/>
      </w:divBdr>
      <w:divsChild>
        <w:div w:id="1680428689">
          <w:marLeft w:val="1181"/>
          <w:marRight w:val="0"/>
          <w:marTop w:val="0"/>
          <w:marBottom w:val="120"/>
          <w:divBdr>
            <w:top w:val="none" w:sz="0" w:space="0" w:color="auto"/>
            <w:left w:val="none" w:sz="0" w:space="0" w:color="auto"/>
            <w:bottom w:val="none" w:sz="0" w:space="0" w:color="auto"/>
            <w:right w:val="none" w:sz="0" w:space="0" w:color="auto"/>
          </w:divBdr>
        </w:div>
        <w:div w:id="2094474118">
          <w:marLeft w:val="806"/>
          <w:marRight w:val="0"/>
          <w:marTop w:val="0"/>
          <w:marBottom w:val="120"/>
          <w:divBdr>
            <w:top w:val="none" w:sz="0" w:space="0" w:color="auto"/>
            <w:left w:val="none" w:sz="0" w:space="0" w:color="auto"/>
            <w:bottom w:val="none" w:sz="0" w:space="0" w:color="auto"/>
            <w:right w:val="none" w:sz="0" w:space="0" w:color="auto"/>
          </w:divBdr>
        </w:div>
      </w:divsChild>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36724491">
      <w:bodyDiv w:val="1"/>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709035">
      <w:bodyDiv w:val="1"/>
      <w:marLeft w:val="0"/>
      <w:marRight w:val="0"/>
      <w:marTop w:val="0"/>
      <w:marBottom w:val="0"/>
      <w:divBdr>
        <w:top w:val="none" w:sz="0" w:space="0" w:color="auto"/>
        <w:left w:val="none" w:sz="0" w:space="0" w:color="auto"/>
        <w:bottom w:val="none" w:sz="0" w:space="0" w:color="auto"/>
        <w:right w:val="none" w:sz="0" w:space="0" w:color="auto"/>
      </w:divBdr>
    </w:div>
    <w:div w:id="1047988711">
      <w:marLeft w:val="0"/>
      <w:marRight w:val="0"/>
      <w:marTop w:val="0"/>
      <w:marBottom w:val="0"/>
      <w:divBdr>
        <w:top w:val="none" w:sz="0" w:space="0" w:color="auto"/>
        <w:left w:val="none" w:sz="0" w:space="0" w:color="auto"/>
        <w:bottom w:val="none" w:sz="0" w:space="0" w:color="auto"/>
        <w:right w:val="none" w:sz="0" w:space="0" w:color="auto"/>
      </w:divBdr>
    </w:div>
    <w:div w:id="1052778337">
      <w:bodyDiv w:val="1"/>
      <w:marLeft w:val="0"/>
      <w:marRight w:val="0"/>
      <w:marTop w:val="0"/>
      <w:marBottom w:val="0"/>
      <w:divBdr>
        <w:top w:val="none" w:sz="0" w:space="0" w:color="auto"/>
        <w:left w:val="none" w:sz="0" w:space="0" w:color="auto"/>
        <w:bottom w:val="none" w:sz="0" w:space="0" w:color="auto"/>
        <w:right w:val="none" w:sz="0" w:space="0" w:color="auto"/>
      </w:divBdr>
    </w:div>
    <w:div w:id="1070082213">
      <w:bodyDiv w:val="1"/>
      <w:marLeft w:val="0"/>
      <w:marRight w:val="0"/>
      <w:marTop w:val="0"/>
      <w:marBottom w:val="0"/>
      <w:divBdr>
        <w:top w:val="none" w:sz="0" w:space="0" w:color="auto"/>
        <w:left w:val="none" w:sz="0" w:space="0" w:color="auto"/>
        <w:bottom w:val="none" w:sz="0" w:space="0" w:color="auto"/>
        <w:right w:val="none" w:sz="0" w:space="0" w:color="auto"/>
      </w:divBdr>
    </w:div>
    <w:div w:id="1079447362">
      <w:bodyDiv w:val="1"/>
      <w:marLeft w:val="0"/>
      <w:marRight w:val="0"/>
      <w:marTop w:val="0"/>
      <w:marBottom w:val="0"/>
      <w:divBdr>
        <w:top w:val="none" w:sz="0" w:space="0" w:color="auto"/>
        <w:left w:val="none" w:sz="0" w:space="0" w:color="auto"/>
        <w:bottom w:val="none" w:sz="0" w:space="0" w:color="auto"/>
        <w:right w:val="none" w:sz="0" w:space="0" w:color="auto"/>
      </w:divBdr>
      <w:divsChild>
        <w:div w:id="540018763">
          <w:marLeft w:val="274"/>
          <w:marRight w:val="0"/>
          <w:marTop w:val="0"/>
          <w:marBottom w:val="0"/>
          <w:divBdr>
            <w:top w:val="none" w:sz="0" w:space="0" w:color="auto"/>
            <w:left w:val="none" w:sz="0" w:space="0" w:color="auto"/>
            <w:bottom w:val="none" w:sz="0" w:space="0" w:color="auto"/>
            <w:right w:val="none" w:sz="0" w:space="0" w:color="auto"/>
          </w:divBdr>
        </w:div>
        <w:div w:id="883908579">
          <w:marLeft w:val="274"/>
          <w:marRight w:val="0"/>
          <w:marTop w:val="0"/>
          <w:marBottom w:val="0"/>
          <w:divBdr>
            <w:top w:val="none" w:sz="0" w:space="0" w:color="auto"/>
            <w:left w:val="none" w:sz="0" w:space="0" w:color="auto"/>
            <w:bottom w:val="none" w:sz="0" w:space="0" w:color="auto"/>
            <w:right w:val="none" w:sz="0" w:space="0" w:color="auto"/>
          </w:divBdr>
        </w:div>
        <w:div w:id="996685479">
          <w:marLeft w:val="994"/>
          <w:marRight w:val="0"/>
          <w:marTop w:val="0"/>
          <w:marBottom w:val="0"/>
          <w:divBdr>
            <w:top w:val="none" w:sz="0" w:space="0" w:color="auto"/>
            <w:left w:val="none" w:sz="0" w:space="0" w:color="auto"/>
            <w:bottom w:val="none" w:sz="0" w:space="0" w:color="auto"/>
            <w:right w:val="none" w:sz="0" w:space="0" w:color="auto"/>
          </w:divBdr>
        </w:div>
        <w:div w:id="1517619766">
          <w:marLeft w:val="274"/>
          <w:marRight w:val="0"/>
          <w:marTop w:val="0"/>
          <w:marBottom w:val="0"/>
          <w:divBdr>
            <w:top w:val="none" w:sz="0" w:space="0" w:color="auto"/>
            <w:left w:val="none" w:sz="0" w:space="0" w:color="auto"/>
            <w:bottom w:val="none" w:sz="0" w:space="0" w:color="auto"/>
            <w:right w:val="none" w:sz="0" w:space="0" w:color="auto"/>
          </w:divBdr>
        </w:div>
        <w:div w:id="1637953999">
          <w:marLeft w:val="994"/>
          <w:marRight w:val="0"/>
          <w:marTop w:val="0"/>
          <w:marBottom w:val="0"/>
          <w:divBdr>
            <w:top w:val="none" w:sz="0" w:space="0" w:color="auto"/>
            <w:left w:val="none" w:sz="0" w:space="0" w:color="auto"/>
            <w:bottom w:val="none" w:sz="0" w:space="0" w:color="auto"/>
            <w:right w:val="none" w:sz="0" w:space="0" w:color="auto"/>
          </w:divBdr>
        </w:div>
        <w:div w:id="1916430193">
          <w:marLeft w:val="994"/>
          <w:marRight w:val="0"/>
          <w:marTop w:val="0"/>
          <w:marBottom w:val="0"/>
          <w:divBdr>
            <w:top w:val="none" w:sz="0" w:space="0" w:color="auto"/>
            <w:left w:val="none" w:sz="0" w:space="0" w:color="auto"/>
            <w:bottom w:val="none" w:sz="0" w:space="0" w:color="auto"/>
            <w:right w:val="none" w:sz="0" w:space="0" w:color="auto"/>
          </w:divBdr>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49054550">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007975">
      <w:bodyDiv w:val="1"/>
      <w:marLeft w:val="0"/>
      <w:marRight w:val="0"/>
      <w:marTop w:val="0"/>
      <w:marBottom w:val="0"/>
      <w:divBdr>
        <w:top w:val="none" w:sz="0" w:space="0" w:color="auto"/>
        <w:left w:val="none" w:sz="0" w:space="0" w:color="auto"/>
        <w:bottom w:val="none" w:sz="0" w:space="0" w:color="auto"/>
        <w:right w:val="none" w:sz="0" w:space="0" w:color="auto"/>
      </w:divBdr>
      <w:divsChild>
        <w:div w:id="564872612">
          <w:marLeft w:val="1181"/>
          <w:marRight w:val="0"/>
          <w:marTop w:val="0"/>
          <w:marBottom w:val="120"/>
          <w:divBdr>
            <w:top w:val="none" w:sz="0" w:space="0" w:color="auto"/>
            <w:left w:val="none" w:sz="0" w:space="0" w:color="auto"/>
            <w:bottom w:val="none" w:sz="0" w:space="0" w:color="auto"/>
            <w:right w:val="none" w:sz="0" w:space="0" w:color="auto"/>
          </w:divBdr>
        </w:div>
        <w:div w:id="893586218">
          <w:marLeft w:val="1181"/>
          <w:marRight w:val="0"/>
          <w:marTop w:val="0"/>
          <w:marBottom w:val="120"/>
          <w:divBdr>
            <w:top w:val="none" w:sz="0" w:space="0" w:color="auto"/>
            <w:left w:val="none" w:sz="0" w:space="0" w:color="auto"/>
            <w:bottom w:val="none" w:sz="0" w:space="0" w:color="auto"/>
            <w:right w:val="none" w:sz="0" w:space="0" w:color="auto"/>
          </w:divBdr>
        </w:div>
        <w:div w:id="1272013118">
          <w:marLeft w:val="806"/>
          <w:marRight w:val="0"/>
          <w:marTop w:val="0"/>
          <w:marBottom w:val="120"/>
          <w:divBdr>
            <w:top w:val="none" w:sz="0" w:space="0" w:color="auto"/>
            <w:left w:val="none" w:sz="0" w:space="0" w:color="auto"/>
            <w:bottom w:val="none" w:sz="0" w:space="0" w:color="auto"/>
            <w:right w:val="none" w:sz="0" w:space="0" w:color="auto"/>
          </w:divBdr>
        </w:div>
        <w:div w:id="2119761959">
          <w:marLeft w:val="1181"/>
          <w:marRight w:val="0"/>
          <w:marTop w:val="0"/>
          <w:marBottom w:val="120"/>
          <w:divBdr>
            <w:top w:val="none" w:sz="0" w:space="0" w:color="auto"/>
            <w:left w:val="none" w:sz="0" w:space="0" w:color="auto"/>
            <w:bottom w:val="none" w:sz="0" w:space="0" w:color="auto"/>
            <w:right w:val="none" w:sz="0" w:space="0" w:color="auto"/>
          </w:divBdr>
        </w:div>
      </w:divsChild>
    </w:div>
    <w:div w:id="1272514655">
      <w:marLeft w:val="0"/>
      <w:marRight w:val="0"/>
      <w:marTop w:val="0"/>
      <w:marBottom w:val="0"/>
      <w:divBdr>
        <w:top w:val="none" w:sz="0" w:space="0" w:color="auto"/>
        <w:left w:val="none" w:sz="0" w:space="0" w:color="auto"/>
        <w:bottom w:val="none" w:sz="0" w:space="0" w:color="auto"/>
        <w:right w:val="none" w:sz="0" w:space="0" w:color="auto"/>
      </w:divBdr>
    </w:div>
    <w:div w:id="1273853743">
      <w:bodyDiv w:val="1"/>
      <w:marLeft w:val="0"/>
      <w:marRight w:val="0"/>
      <w:marTop w:val="0"/>
      <w:marBottom w:val="0"/>
      <w:divBdr>
        <w:top w:val="none" w:sz="0" w:space="0" w:color="auto"/>
        <w:left w:val="none" w:sz="0" w:space="0" w:color="auto"/>
        <w:bottom w:val="none" w:sz="0" w:space="0" w:color="auto"/>
        <w:right w:val="none" w:sz="0" w:space="0" w:color="auto"/>
      </w:divBdr>
      <w:divsChild>
        <w:div w:id="1107383874">
          <w:marLeft w:val="0"/>
          <w:marRight w:val="0"/>
          <w:marTop w:val="0"/>
          <w:marBottom w:val="0"/>
          <w:divBdr>
            <w:top w:val="none" w:sz="0" w:space="0" w:color="auto"/>
            <w:left w:val="none" w:sz="0" w:space="0" w:color="auto"/>
            <w:bottom w:val="none" w:sz="0" w:space="0" w:color="auto"/>
            <w:right w:val="none" w:sz="0" w:space="0" w:color="auto"/>
          </w:divBdr>
          <w:divsChild>
            <w:div w:id="565654273">
              <w:marLeft w:val="0"/>
              <w:marRight w:val="0"/>
              <w:marTop w:val="0"/>
              <w:marBottom w:val="0"/>
              <w:divBdr>
                <w:top w:val="none" w:sz="0" w:space="0" w:color="auto"/>
                <w:left w:val="none" w:sz="0" w:space="0" w:color="auto"/>
                <w:bottom w:val="none" w:sz="0" w:space="0" w:color="auto"/>
                <w:right w:val="none" w:sz="0" w:space="0" w:color="auto"/>
              </w:divBdr>
              <w:divsChild>
                <w:div w:id="1331561136">
                  <w:marLeft w:val="0"/>
                  <w:marRight w:val="0"/>
                  <w:marTop w:val="0"/>
                  <w:marBottom w:val="0"/>
                  <w:divBdr>
                    <w:top w:val="none" w:sz="0" w:space="0" w:color="auto"/>
                    <w:left w:val="none" w:sz="0" w:space="0" w:color="auto"/>
                    <w:bottom w:val="none" w:sz="0" w:space="0" w:color="auto"/>
                    <w:right w:val="none" w:sz="0" w:space="0" w:color="auto"/>
                  </w:divBdr>
                  <w:divsChild>
                    <w:div w:id="1980959153">
                      <w:marLeft w:val="0"/>
                      <w:marRight w:val="0"/>
                      <w:marTop w:val="0"/>
                      <w:marBottom w:val="0"/>
                      <w:divBdr>
                        <w:top w:val="none" w:sz="0" w:space="0" w:color="auto"/>
                        <w:left w:val="none" w:sz="0" w:space="0" w:color="auto"/>
                        <w:bottom w:val="none" w:sz="0" w:space="0" w:color="auto"/>
                        <w:right w:val="none" w:sz="0" w:space="0" w:color="auto"/>
                      </w:divBdr>
                      <w:divsChild>
                        <w:div w:id="181939500">
                          <w:marLeft w:val="0"/>
                          <w:marRight w:val="0"/>
                          <w:marTop w:val="0"/>
                          <w:marBottom w:val="0"/>
                          <w:divBdr>
                            <w:top w:val="none" w:sz="0" w:space="0" w:color="auto"/>
                            <w:left w:val="none" w:sz="0" w:space="0" w:color="auto"/>
                            <w:bottom w:val="none" w:sz="0" w:space="0" w:color="auto"/>
                            <w:right w:val="none" w:sz="0" w:space="0" w:color="auto"/>
                          </w:divBdr>
                          <w:divsChild>
                            <w:div w:id="2085951490">
                              <w:marLeft w:val="0"/>
                              <w:marRight w:val="0"/>
                              <w:marTop w:val="0"/>
                              <w:marBottom w:val="0"/>
                              <w:divBdr>
                                <w:top w:val="none" w:sz="0" w:space="0" w:color="auto"/>
                                <w:left w:val="none" w:sz="0" w:space="0" w:color="auto"/>
                                <w:bottom w:val="none" w:sz="0" w:space="0" w:color="auto"/>
                                <w:right w:val="none" w:sz="0" w:space="0" w:color="auto"/>
                              </w:divBdr>
                              <w:divsChild>
                                <w:div w:id="955596798">
                                  <w:marLeft w:val="0"/>
                                  <w:marRight w:val="0"/>
                                  <w:marTop w:val="0"/>
                                  <w:marBottom w:val="0"/>
                                  <w:divBdr>
                                    <w:top w:val="none" w:sz="0" w:space="0" w:color="auto"/>
                                    <w:left w:val="none" w:sz="0" w:space="0" w:color="auto"/>
                                    <w:bottom w:val="none" w:sz="0" w:space="0" w:color="auto"/>
                                    <w:right w:val="none" w:sz="0" w:space="0" w:color="auto"/>
                                  </w:divBdr>
                                  <w:divsChild>
                                    <w:div w:id="430587646">
                                      <w:marLeft w:val="0"/>
                                      <w:marRight w:val="0"/>
                                      <w:marTop w:val="0"/>
                                      <w:marBottom w:val="0"/>
                                      <w:divBdr>
                                        <w:top w:val="none" w:sz="0" w:space="0" w:color="auto"/>
                                        <w:left w:val="none" w:sz="0" w:space="0" w:color="auto"/>
                                        <w:bottom w:val="none" w:sz="0" w:space="0" w:color="auto"/>
                                        <w:right w:val="none" w:sz="0" w:space="0" w:color="auto"/>
                                      </w:divBdr>
                                      <w:divsChild>
                                        <w:div w:id="1197743413">
                                          <w:marLeft w:val="0"/>
                                          <w:marRight w:val="0"/>
                                          <w:marTop w:val="0"/>
                                          <w:marBottom w:val="495"/>
                                          <w:divBdr>
                                            <w:top w:val="none" w:sz="0" w:space="0" w:color="auto"/>
                                            <w:left w:val="none" w:sz="0" w:space="0" w:color="auto"/>
                                            <w:bottom w:val="none" w:sz="0" w:space="0" w:color="auto"/>
                                            <w:right w:val="none" w:sz="0" w:space="0" w:color="auto"/>
                                          </w:divBdr>
                                          <w:divsChild>
                                            <w:div w:id="1805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02151247">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38841004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07335295">
      <w:bodyDiv w:val="1"/>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79316944">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4093">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4955425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533367">
      <w:bodyDiv w:val="1"/>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58557928">
      <w:bodyDiv w:val="1"/>
      <w:marLeft w:val="0"/>
      <w:marRight w:val="0"/>
      <w:marTop w:val="0"/>
      <w:marBottom w:val="0"/>
      <w:divBdr>
        <w:top w:val="none" w:sz="0" w:space="0" w:color="auto"/>
        <w:left w:val="none" w:sz="0" w:space="0" w:color="auto"/>
        <w:bottom w:val="none" w:sz="0" w:space="0" w:color="auto"/>
        <w:right w:val="none" w:sz="0" w:space="0" w:color="auto"/>
      </w:divBdr>
      <w:divsChild>
        <w:div w:id="229850736">
          <w:marLeft w:val="1181"/>
          <w:marRight w:val="0"/>
          <w:marTop w:val="0"/>
          <w:marBottom w:val="0"/>
          <w:divBdr>
            <w:top w:val="none" w:sz="0" w:space="0" w:color="auto"/>
            <w:left w:val="none" w:sz="0" w:space="0" w:color="auto"/>
            <w:bottom w:val="none" w:sz="0" w:space="0" w:color="auto"/>
            <w:right w:val="none" w:sz="0" w:space="0" w:color="auto"/>
          </w:divBdr>
        </w:div>
        <w:div w:id="610665360">
          <w:marLeft w:val="1541"/>
          <w:marRight w:val="0"/>
          <w:marTop w:val="0"/>
          <w:marBottom w:val="0"/>
          <w:divBdr>
            <w:top w:val="none" w:sz="0" w:space="0" w:color="auto"/>
            <w:left w:val="none" w:sz="0" w:space="0" w:color="auto"/>
            <w:bottom w:val="none" w:sz="0" w:space="0" w:color="auto"/>
            <w:right w:val="none" w:sz="0" w:space="0" w:color="auto"/>
          </w:divBdr>
        </w:div>
        <w:div w:id="645932757">
          <w:marLeft w:val="1181"/>
          <w:marRight w:val="0"/>
          <w:marTop w:val="0"/>
          <w:marBottom w:val="0"/>
          <w:divBdr>
            <w:top w:val="none" w:sz="0" w:space="0" w:color="auto"/>
            <w:left w:val="none" w:sz="0" w:space="0" w:color="auto"/>
            <w:bottom w:val="none" w:sz="0" w:space="0" w:color="auto"/>
            <w:right w:val="none" w:sz="0" w:space="0" w:color="auto"/>
          </w:divBdr>
        </w:div>
        <w:div w:id="833183819">
          <w:marLeft w:val="1541"/>
          <w:marRight w:val="0"/>
          <w:marTop w:val="0"/>
          <w:marBottom w:val="0"/>
          <w:divBdr>
            <w:top w:val="none" w:sz="0" w:space="0" w:color="auto"/>
            <w:left w:val="none" w:sz="0" w:space="0" w:color="auto"/>
            <w:bottom w:val="none" w:sz="0" w:space="0" w:color="auto"/>
            <w:right w:val="none" w:sz="0" w:space="0" w:color="auto"/>
          </w:divBdr>
        </w:div>
        <w:div w:id="1237940344">
          <w:marLeft w:val="1541"/>
          <w:marRight w:val="0"/>
          <w:marTop w:val="0"/>
          <w:marBottom w:val="0"/>
          <w:divBdr>
            <w:top w:val="none" w:sz="0" w:space="0" w:color="auto"/>
            <w:left w:val="none" w:sz="0" w:space="0" w:color="auto"/>
            <w:bottom w:val="none" w:sz="0" w:space="0" w:color="auto"/>
            <w:right w:val="none" w:sz="0" w:space="0" w:color="auto"/>
          </w:divBdr>
        </w:div>
        <w:div w:id="1593246408">
          <w:marLeft w:val="1181"/>
          <w:marRight w:val="0"/>
          <w:marTop w:val="0"/>
          <w:marBottom w:val="0"/>
          <w:divBdr>
            <w:top w:val="none" w:sz="0" w:space="0" w:color="auto"/>
            <w:left w:val="none" w:sz="0" w:space="0" w:color="auto"/>
            <w:bottom w:val="none" w:sz="0" w:space="0" w:color="auto"/>
            <w:right w:val="none" w:sz="0" w:space="0" w:color="auto"/>
          </w:divBdr>
        </w:div>
        <w:div w:id="1696072471">
          <w:marLeft w:val="1541"/>
          <w:marRight w:val="0"/>
          <w:marTop w:val="0"/>
          <w:marBottom w:val="0"/>
          <w:divBdr>
            <w:top w:val="none" w:sz="0" w:space="0" w:color="auto"/>
            <w:left w:val="none" w:sz="0" w:space="0" w:color="auto"/>
            <w:bottom w:val="none" w:sz="0" w:space="0" w:color="auto"/>
            <w:right w:val="none" w:sz="0" w:space="0" w:color="auto"/>
          </w:divBdr>
        </w:div>
        <w:div w:id="1927109855">
          <w:marLeft w:val="1541"/>
          <w:marRight w:val="0"/>
          <w:marTop w:val="0"/>
          <w:marBottom w:val="0"/>
          <w:divBdr>
            <w:top w:val="none" w:sz="0" w:space="0" w:color="auto"/>
            <w:left w:val="none" w:sz="0" w:space="0" w:color="auto"/>
            <w:bottom w:val="none" w:sz="0" w:space="0" w:color="auto"/>
            <w:right w:val="none" w:sz="0" w:space="0" w:color="auto"/>
          </w:divBdr>
        </w:div>
        <w:div w:id="2099212649">
          <w:marLeft w:val="806"/>
          <w:marRight w:val="0"/>
          <w:marTop w:val="0"/>
          <w:marBottom w:val="0"/>
          <w:divBdr>
            <w:top w:val="none" w:sz="0" w:space="0" w:color="auto"/>
            <w:left w:val="none" w:sz="0" w:space="0" w:color="auto"/>
            <w:bottom w:val="none" w:sz="0" w:space="0" w:color="auto"/>
            <w:right w:val="none" w:sz="0" w:space="0" w:color="auto"/>
          </w:divBdr>
        </w:div>
      </w:divsChild>
    </w:div>
    <w:div w:id="1779565627">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89546772">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03882979">
      <w:bodyDiv w:val="1"/>
      <w:marLeft w:val="0"/>
      <w:marRight w:val="0"/>
      <w:marTop w:val="0"/>
      <w:marBottom w:val="0"/>
      <w:divBdr>
        <w:top w:val="none" w:sz="0" w:space="0" w:color="auto"/>
        <w:left w:val="none" w:sz="0" w:space="0" w:color="auto"/>
        <w:bottom w:val="none" w:sz="0" w:space="0" w:color="auto"/>
        <w:right w:val="none" w:sz="0" w:space="0" w:color="auto"/>
      </w:divBdr>
    </w:div>
    <w:div w:id="1813401042">
      <w:bodyDiv w:val="1"/>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24815692">
      <w:bodyDiv w:val="1"/>
      <w:marLeft w:val="0"/>
      <w:marRight w:val="0"/>
      <w:marTop w:val="0"/>
      <w:marBottom w:val="0"/>
      <w:divBdr>
        <w:top w:val="none" w:sz="0" w:space="0" w:color="auto"/>
        <w:left w:val="none" w:sz="0" w:space="0" w:color="auto"/>
        <w:bottom w:val="none" w:sz="0" w:space="0" w:color="auto"/>
        <w:right w:val="none" w:sz="0" w:space="0" w:color="auto"/>
      </w:divBdr>
    </w:div>
    <w:div w:id="1845045315">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72495486">
      <w:bodyDiv w:val="1"/>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24485241">
      <w:bodyDiv w:val="1"/>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29990475">
      <w:bodyDiv w:val="1"/>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45592253">
      <w:bodyDiv w:val="1"/>
      <w:marLeft w:val="0"/>
      <w:marRight w:val="0"/>
      <w:marTop w:val="0"/>
      <w:marBottom w:val="0"/>
      <w:divBdr>
        <w:top w:val="none" w:sz="0" w:space="0" w:color="auto"/>
        <w:left w:val="none" w:sz="0" w:space="0" w:color="auto"/>
        <w:bottom w:val="none" w:sz="0" w:space="0" w:color="auto"/>
        <w:right w:val="none" w:sz="0" w:space="0" w:color="auto"/>
      </w:divBdr>
    </w:div>
    <w:div w:id="2048791446">
      <w:bodyDiv w:val="1"/>
      <w:marLeft w:val="0"/>
      <w:marRight w:val="0"/>
      <w:marTop w:val="0"/>
      <w:marBottom w:val="0"/>
      <w:divBdr>
        <w:top w:val="none" w:sz="0" w:space="0" w:color="auto"/>
        <w:left w:val="none" w:sz="0" w:space="0" w:color="auto"/>
        <w:bottom w:val="none" w:sz="0" w:space="0" w:color="auto"/>
        <w:right w:val="none" w:sz="0" w:space="0" w:color="auto"/>
      </w:divBdr>
      <w:divsChild>
        <w:div w:id="751897380">
          <w:marLeft w:val="0"/>
          <w:marRight w:val="0"/>
          <w:marTop w:val="0"/>
          <w:marBottom w:val="0"/>
          <w:divBdr>
            <w:top w:val="none" w:sz="0" w:space="0" w:color="auto"/>
            <w:left w:val="none" w:sz="0" w:space="0" w:color="auto"/>
            <w:bottom w:val="none" w:sz="0" w:space="0" w:color="auto"/>
            <w:right w:val="none" w:sz="0" w:space="0" w:color="auto"/>
          </w:divBdr>
        </w:div>
      </w:divsChild>
    </w:div>
    <w:div w:id="2050379619">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839696">
      <w:bodyDiv w:val="1"/>
      <w:marLeft w:val="0"/>
      <w:marRight w:val="0"/>
      <w:marTop w:val="0"/>
      <w:marBottom w:val="0"/>
      <w:divBdr>
        <w:top w:val="none" w:sz="0" w:space="0" w:color="auto"/>
        <w:left w:val="none" w:sz="0" w:space="0" w:color="auto"/>
        <w:bottom w:val="none" w:sz="0" w:space="0" w:color="auto"/>
        <w:right w:val="none" w:sz="0" w:space="0" w:color="auto"/>
      </w:divBdr>
      <w:divsChild>
        <w:div w:id="2093697553">
          <w:marLeft w:val="0"/>
          <w:marRight w:val="0"/>
          <w:marTop w:val="0"/>
          <w:marBottom w:val="0"/>
          <w:divBdr>
            <w:top w:val="none" w:sz="0" w:space="0" w:color="auto"/>
            <w:left w:val="none" w:sz="0" w:space="0" w:color="auto"/>
            <w:bottom w:val="none" w:sz="0" w:space="0" w:color="auto"/>
            <w:right w:val="none" w:sz="0" w:space="0" w:color="auto"/>
          </w:divBdr>
        </w:div>
      </w:divsChild>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5AIRPNAIUNRU-1328258698-11115</_dlc_DocId>
    <_dlc_DocIdUrl xmlns="71c5aaf6-e6ce-465b-b873-5148d2a4c105">
      <Url>https://nokia.sharepoint.com/sites/c5g/5gradio/_layouts/15/DocIdRedir.aspx?ID=5AIRPNAIUNRU-1328258698-11115</Url>
      <Description>5AIRPNAIUNRU-1328258698-11115</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3.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4.xml><?xml version="1.0" encoding="utf-8"?>
<ds:datastoreItem xmlns:ds="http://schemas.openxmlformats.org/officeDocument/2006/customXml" ds:itemID="{38A521FE-B71B-4983-B182-BFE5DDA24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8085A8-8026-4126-B90E-0441EFE30B15}">
  <ds:schemaRefs>
    <ds:schemaRef ds:uri="http://schemas.openxmlformats.org/officeDocument/2006/bibliography"/>
  </ds:schemaRefs>
</ds:datastoreItem>
</file>

<file path=customXml/itemProps6.xml><?xml version="1.0" encoding="utf-8"?>
<ds:datastoreItem xmlns:ds="http://schemas.openxmlformats.org/officeDocument/2006/customXml" ds:itemID="{3D4AA29F-254E-477A-9BA9-3299BAA9BE1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5</Pages>
  <Words>1655</Words>
  <Characters>10098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12</cp:revision>
  <cp:lastPrinted>2019-04-01T09:54:00Z</cp:lastPrinted>
  <dcterms:created xsi:type="dcterms:W3CDTF">2022-03-30T10:40:00Z</dcterms:created>
  <dcterms:modified xsi:type="dcterms:W3CDTF">2022-04-25T18:34:00Z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31c8361e-b95f-458f-adc9-ecab07490059</vt:lpwstr>
  </property>
  <property fmtid="{D5CDD505-2E9C-101B-9397-08002B2CF9AE}" pid="4" name="AuthorIds_UIVersion_512">
    <vt:lpwstr>18279</vt:lpwstr>
  </property>
</Properties>
</file>